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1AF6F" w14:textId="396975B0" w:rsidR="00987400" w:rsidRPr="001D1A71" w:rsidRDefault="002E4351" w:rsidP="0098740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Løsninger til k</w:t>
      </w:r>
      <w:r w:rsidR="00987400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apitel 5: Penge- og valutamarkedet</w:t>
      </w:r>
    </w:p>
    <w:p w14:paraId="7EB69366" w14:textId="77777777" w:rsidR="00987400" w:rsidRPr="001D1A71" w:rsidRDefault="00987400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7DFE1EED" w14:textId="3B478D51" w:rsidR="00622AE7" w:rsidRPr="001D1A71" w:rsidRDefault="00622AE7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EA4907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1</w:t>
      </w:r>
    </w:p>
    <w:p w14:paraId="67013AF3" w14:textId="1896DD51" w:rsidR="00E94ED1" w:rsidRPr="001D1A71" w:rsidRDefault="00987400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d</w:t>
      </w:r>
      <w:r w:rsidR="00E94ED1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efinition i lærebog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E94ED1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s. 31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1A26FBDB" w14:textId="77777777" w:rsidR="00622AE7" w:rsidRPr="001D1A71" w:rsidRDefault="00622AE7" w:rsidP="00EA490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03A41CF9" w14:textId="77777777" w:rsidR="001D1A71" w:rsidRPr="001D1A71" w:rsidRDefault="001D1A71" w:rsidP="00EA490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9699E5B" w14:textId="25B52124" w:rsidR="0009767F" w:rsidRPr="001D1A71" w:rsidRDefault="0009767F" w:rsidP="0009767F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5.2</w:t>
      </w:r>
    </w:p>
    <w:p w14:paraId="4F625858" w14:textId="4D5D8A7E" w:rsidR="00B15899" w:rsidRPr="001D1A71" w:rsidRDefault="00987400" w:rsidP="0009767F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</w:t>
      </w:r>
      <w:r w:rsidR="00A93C7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æ</w:t>
      </w:r>
      <w:r w:rsidR="00B1589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rebog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B1589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afsnit</w:t>
      </w:r>
      <w:r w:rsidR="00B1589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A93C7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5.2.1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516AC61A" w14:textId="77777777" w:rsidR="0009767F" w:rsidRPr="001D1A71" w:rsidRDefault="0009767F" w:rsidP="001D1A71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49F83C72" w14:textId="77777777" w:rsidR="001D1A71" w:rsidRPr="001D1A71" w:rsidRDefault="001D1A71" w:rsidP="001D1A71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6498D06E" w14:textId="0A28697A" w:rsidR="003546F4" w:rsidRPr="001D1A71" w:rsidRDefault="00D97B72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09767F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3</w:t>
      </w:r>
    </w:p>
    <w:p w14:paraId="48B36CDA" w14:textId="24671947" w:rsidR="008230B4" w:rsidRPr="001D1A71" w:rsidRDefault="008230B4" w:rsidP="008230B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Bankerne skal have større sikkerhed for udlån.</w:t>
      </w:r>
    </w:p>
    <w:p w14:paraId="22417AE2" w14:textId="78C68A29" w:rsidR="008230B4" w:rsidRPr="001D1A71" w:rsidRDefault="00905622" w:rsidP="008230B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Derudover bl.a. s</w:t>
      </w:r>
      <w:r w:rsidR="008230B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tørre krav til låntagere, </w:t>
      </w:r>
      <w:r w:rsidR="00871FEE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større likvid beholdning af indskud</w:t>
      </w:r>
      <w:r w:rsidR="001D0E8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(</w:t>
      </w:r>
      <w:r w:rsidR="00871FEE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som ikke er genudlånt</w:t>
      </w:r>
      <w:r w:rsidR="001D0E8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)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</w:t>
      </w:r>
      <w:r w:rsidR="006C778E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større placering af indlån i sikre obligationer, </w:t>
      </w:r>
      <w:r w:rsidR="001D0E8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placering i </w:t>
      </w:r>
      <w:r w:rsidR="006C778E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fast ejendom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73AF4FF0" w14:textId="20D6AC4B" w:rsidR="00905622" w:rsidRPr="001D1A71" w:rsidRDefault="00905622" w:rsidP="008230B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Da mindre </w:t>
      </w:r>
      <w:r w:rsidR="00AF710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del af indskud kan genudlånes vil kreditmultiplikator og dermed pengeskabende evne falde</w:t>
      </w:r>
      <w:r w:rsidR="00470EA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306E8C4E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333BFE6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F2DC1E5" w14:textId="3352F647" w:rsidR="00D97B72" w:rsidRPr="001D1A71" w:rsidRDefault="00D97B72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09767F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4</w:t>
      </w:r>
    </w:p>
    <w:p w14:paraId="39F0A45D" w14:textId="6F9F3C94" w:rsidR="00A82968" w:rsidRPr="001D1A71" w:rsidRDefault="00A82968" w:rsidP="00470EA9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Harmonisering vil sige mere ensartede regler</w:t>
      </w:r>
      <w:r w:rsidR="00205D8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om </w:t>
      </w:r>
      <w:r w:rsidR="00867EB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generelle regler for drift af finansielle institutioner</w:t>
      </w:r>
      <w:r w:rsidR="0055230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53681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(ledelsesansvar, bestyrelsesansvar)</w:t>
      </w:r>
      <w:r w:rsidR="0055230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</w:t>
      </w:r>
      <w:r w:rsidR="00205D8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sikkerhed</w:t>
      </w:r>
      <w:r w:rsidR="0053681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kapitalgrundlag</w:t>
      </w:r>
      <w:r w:rsidR="008A05BC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EC90756" w14:textId="7F1E47B0" w:rsidR="008A05BC" w:rsidRPr="001D1A71" w:rsidRDefault="009F1988" w:rsidP="00470EA9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I </w:t>
      </w:r>
      <w:r w:rsidR="000E20C8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forbindelse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med</w:t>
      </w:r>
      <w:r w:rsidR="000E20C8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det indre marked i EU indførtes også fri bevægelighed for kapital</w:t>
      </w:r>
      <w:r w:rsidR="0042619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umiddelbart blev den frie bevægelighed i utilstrækkelig grad fulgt op med fælles regler. Finanskrisen fra 2008 </w:t>
      </w:r>
      <w:r w:rsidR="00AE216E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medførte forøgede krav til harmonisering</w:t>
      </w:r>
      <w:r w:rsidR="001B601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 Stigende ensartede regler om sikkerhed for indlån</w:t>
      </w:r>
      <w:r w:rsidR="003259B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(op til 100.000€).</w:t>
      </w:r>
      <w:r w:rsidR="006F7FC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Fælles reg</w:t>
      </w:r>
      <w:r w:rsidR="000C04F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ler om genopretning eller afvikling af banker.</w:t>
      </w:r>
    </w:p>
    <w:p w14:paraId="0355B645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2576F5BF" w14:textId="33B28AC1" w:rsidR="00EA4907" w:rsidRPr="001D1A71" w:rsidRDefault="00552303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 xml:space="preserve"> </w:t>
      </w:r>
    </w:p>
    <w:p w14:paraId="7D8950BE" w14:textId="10BEC2AF" w:rsidR="0009767F" w:rsidRPr="001D1A71" w:rsidRDefault="0009767F" w:rsidP="0009767F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5.5</w:t>
      </w:r>
    </w:p>
    <w:p w14:paraId="3320469E" w14:textId="77F328FE" w:rsidR="00D15976" w:rsidRPr="001D1A71" w:rsidRDefault="00D62FC0" w:rsidP="00D1597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Definition af inflation og inflationstyper 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findes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 lærebogen</w:t>
      </w:r>
      <w:r w:rsidR="004323D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7C6AD091" w14:textId="180619F5" w:rsidR="004323D5" w:rsidRPr="001D1A71" w:rsidRDefault="004323D5" w:rsidP="00D1597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In</w:t>
      </w:r>
      <w:r w:rsidR="003E563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lation lav bl.a. p</w:t>
      </w:r>
      <w:r w:rsidR="00545E91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ga. lav efterspørgsel, relativ stor </w:t>
      </w:r>
      <w:r w:rsidR="00BE074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opsparing i mange lande, re</w:t>
      </w:r>
      <w:r w:rsidR="003E563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la</w:t>
      </w:r>
      <w:r w:rsidR="00BE074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tiv høj </w:t>
      </w:r>
      <w:r w:rsidR="00545E91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arbejdsløshed i </w:t>
      </w:r>
      <w:r w:rsidR="00BE074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Sydeuropa</w:t>
      </w:r>
      <w:r w:rsidR="003E563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relativt lave priser på en række råstoffer</w:t>
      </w:r>
      <w:r w:rsidR="0004180C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703D2559" w14:textId="16F86E08" w:rsidR="0004180C" w:rsidRPr="001D1A71" w:rsidRDefault="0004180C" w:rsidP="00D1597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2% målet virker i to retninger. For lav inflation for økonomi til at </w:t>
      </w:r>
      <w:r w:rsidR="007F54F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svækkes, for høj inflation svækker tillid til holdbarhed i økonomi</w:t>
      </w:r>
      <w:r w:rsidR="00253B5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og svækker konkurrenceevne.</w:t>
      </w:r>
    </w:p>
    <w:p w14:paraId="53A1F88E" w14:textId="34286AB7" w:rsidR="00253B56" w:rsidRPr="001D1A71" w:rsidRDefault="00C43E62" w:rsidP="00D1597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ECB for øget likviditeten ved store obligationsopkøb, hvorved penge pumpes ud, dette skulle principielt give forøget efterspørgsel</w:t>
      </w:r>
      <w:r w:rsidR="009B599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og lav rente </w:t>
      </w:r>
      <w:r w:rsidR="009B599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sym w:font="Wingdings" w:char="F0E0"/>
      </w:r>
      <w:r w:rsidR="009B599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forøget efterspørgsel.</w:t>
      </w:r>
    </w:p>
    <w:p w14:paraId="23012230" w14:textId="77777777" w:rsidR="0009767F" w:rsidRPr="001D1A71" w:rsidRDefault="0009767F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A3E3522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1A95BF9" w14:textId="77777777" w:rsidR="00593E52" w:rsidRPr="001D1A71" w:rsidRDefault="00593E52" w:rsidP="00593E52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5.6</w:t>
      </w:r>
    </w:p>
    <w:p w14:paraId="4B9C30BC" w14:textId="648C1E7E" w:rsidR="0095350A" w:rsidRPr="001D1A71" w:rsidRDefault="00DA5E8D" w:rsidP="00B0235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Årsagen til </w:t>
      </w:r>
      <w:r w:rsidR="00331E8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pr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isfald generelt de modsatte af årsager til prisstigninger, se lærebog</w:t>
      </w:r>
      <w:r w:rsidR="00331E8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om inflation.</w:t>
      </w:r>
    </w:p>
    <w:p w14:paraId="6E7AA1D6" w14:textId="657627DF" w:rsidR="00702DC6" w:rsidRPr="001D1A71" w:rsidRDefault="00702DC6" w:rsidP="00B0235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Skelnen mellem </w:t>
      </w:r>
      <w:proofErr w:type="spellStart"/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costpush</w:t>
      </w:r>
      <w:proofErr w:type="spellEnd"/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og </w:t>
      </w:r>
      <w:proofErr w:type="spellStart"/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demand</w:t>
      </w:r>
      <w:r w:rsidR="00DF1EB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pull</w:t>
      </w:r>
      <w:proofErr w:type="spellEnd"/>
      <w:r w:rsidR="00DF1EB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ved inflation, men også efterspørgselsbestemt og </w:t>
      </w:r>
      <w:r w:rsidR="00E1665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omkostningsbestemt deflation.</w:t>
      </w:r>
    </w:p>
    <w:p w14:paraId="3348F961" w14:textId="47D03B6F" w:rsidR="00331E8B" w:rsidRPr="001D1A71" w:rsidRDefault="005D25FC" w:rsidP="00B0235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Deflation</w:t>
      </w:r>
      <w:r w:rsidR="00331E8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pga.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råvarepriser vanskelig af imødegå, ved efterspørgselsfald </w:t>
      </w:r>
      <w:r w:rsidR="0037594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skal forbrugernes forventninger påvirke</w:t>
      </w:r>
      <w:r w:rsidR="007125C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</w:t>
      </w:r>
      <w:r w:rsidR="0037594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det er vanskeligt.</w:t>
      </w:r>
      <w:r w:rsidR="009A1E1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Centralbank kan sænke rente, men vanskeligt at sænke under nul. (I øvrigt bliver det så van</w:t>
      </w:r>
      <w:r w:rsidR="007125C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</w:t>
      </w:r>
      <w:r w:rsidR="009A1E1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keligt at få renten op igen uden at mind</w:t>
      </w:r>
      <w:r w:rsidR="007125C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sk</w:t>
      </w:r>
      <w:r w:rsidR="009A1E1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 efterspørgsel</w:t>
      </w:r>
      <w:r w:rsidR="00C07F6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det er den klemme ECB og FED står i 2018</w:t>
      </w:r>
      <w:r w:rsidR="009A1E1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).</w:t>
      </w:r>
    </w:p>
    <w:p w14:paraId="59EDFA36" w14:textId="3D1E8673" w:rsidR="006F6935" w:rsidRPr="001D1A71" w:rsidRDefault="006F6935" w:rsidP="00B0235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Antagelig mere effektivt at bruge finanspolitik (se </w:t>
      </w:r>
      <w:r w:rsidR="00EB6E1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lærebog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EB6E1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s. 33).</w:t>
      </w:r>
    </w:p>
    <w:p w14:paraId="5EABBAE3" w14:textId="77777777" w:rsidR="00593E52" w:rsidRPr="001D1A71" w:rsidRDefault="00593E52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F891872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10F1CC5D" w14:textId="42AF3516" w:rsidR="00D97B72" w:rsidRPr="001D1A71" w:rsidRDefault="00737CAE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593E52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7</w:t>
      </w:r>
    </w:p>
    <w:p w14:paraId="1DBECB0D" w14:textId="31BED4A9" w:rsidR="002B63F2" w:rsidRPr="001D1A71" w:rsidRDefault="002B63F2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I et kontantløst samfund bruger man </w:t>
      </w:r>
      <w:r w:rsidR="00491D5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betaling</w:t>
      </w:r>
      <w:r w:rsidR="0016354C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</w:t>
      </w:r>
      <w:r w:rsidR="00491D5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kort og mobilepay til at overføre penge.</w:t>
      </w:r>
    </w:p>
    <w:p w14:paraId="740700AD" w14:textId="0F3145E3" w:rsidR="00491D50" w:rsidRPr="001D1A71" w:rsidRDefault="00491D50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I et pengeløst samfund </w:t>
      </w:r>
      <w:r w:rsidR="0016354C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baseret økonomien på at bytte, det er en </w:t>
      </w:r>
      <w:r w:rsidR="004A328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primitiv økonomi.</w:t>
      </w:r>
    </w:p>
    <w:p w14:paraId="05B80876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197B7EA5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6FBE443D" w14:textId="177BBC92" w:rsidR="00737CAE" w:rsidRPr="001D1A71" w:rsidRDefault="00737CAE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593E52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8</w:t>
      </w:r>
    </w:p>
    <w:p w14:paraId="71D4B183" w14:textId="13314761" w:rsidR="004A328D" w:rsidRPr="001D1A71" w:rsidRDefault="009E4A4F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Nationalbanken betaler for obligationer med </w:t>
      </w:r>
      <w:r w:rsidR="00702DC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penge, pengemængden stiger derfor,</w:t>
      </w:r>
    </w:p>
    <w:p w14:paraId="4D044D65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1B64062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2AA829E2" w14:textId="265BBC79" w:rsidR="00737CAE" w:rsidRPr="001D1A71" w:rsidRDefault="00737CAE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593E52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9</w:t>
      </w:r>
    </w:p>
    <w:p w14:paraId="5744B6A4" w14:textId="6E27DCB7" w:rsidR="00097155" w:rsidRPr="001D1A71" w:rsidRDefault="00097155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Lav rente giver ringe incitament til at spare op og stort incitament til at </w:t>
      </w:r>
      <w:r w:rsidR="008E6B8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forbruge og evt. lånefinansier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</w:t>
      </w:r>
      <w:r w:rsidR="008E6B8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t forbrug.</w:t>
      </w:r>
    </w:p>
    <w:p w14:paraId="36DE6095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7D0AB2C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2384338A" w14:textId="26C6E539" w:rsidR="00737CAE" w:rsidRPr="001D1A71" w:rsidRDefault="00737CAE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593E52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10</w:t>
      </w:r>
    </w:p>
    <w:p w14:paraId="430EC5D7" w14:textId="11C0F86F" w:rsidR="00FF0315" w:rsidRPr="001D1A71" w:rsidRDefault="00987400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</w:t>
      </w:r>
      <w:r w:rsidR="00FF031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ærebog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FF031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afsnit</w:t>
      </w:r>
      <w:r w:rsidR="00FF031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5.3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0F82C764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B4379F8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52BAE2F" w14:textId="3D6C7D7C" w:rsidR="00737CAE" w:rsidRPr="001D1A71" w:rsidRDefault="00737CAE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960F24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1</w:t>
      </w:r>
      <w:r w:rsidR="00593E52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1</w:t>
      </w:r>
    </w:p>
    <w:p w14:paraId="7B2219C7" w14:textId="18991E48" w:rsidR="00737CAE" w:rsidRPr="001D1A71" w:rsidRDefault="003A5D1A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Et fald i obligationsrenten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0E3741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5E0A7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Kurven op mod højre</w:t>
      </w:r>
    </w:p>
    <w:p w14:paraId="4EF4DE93" w14:textId="77777777" w:rsidR="001D1A71" w:rsidRPr="001D1A71" w:rsidRDefault="001D1A71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6643EE9D" w14:textId="30E6FDFE" w:rsidR="003A5D1A" w:rsidRPr="001D1A71" w:rsidRDefault="003A5D1A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Et fald i prisniveauet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4B794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5E0A7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Kurven op mod højre</w:t>
      </w:r>
      <w:r w:rsidR="004B794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30B9807" w14:textId="77777777" w:rsidR="001D1A71" w:rsidRPr="001D1A71" w:rsidRDefault="001D1A71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10F13F36" w14:textId="77E16955" w:rsidR="00987400" w:rsidRPr="001D1A71" w:rsidRDefault="003A5D1A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Generel overgang fra ugeløn til månedsløn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 Udbuddet af penge stiger ved lønudbetaling (fx 1. dag i måned) og efterspørgsel falder, i løbet af måned vil efterspørgsel stiger og ende med at være meget stor omkring den 31. i måned.</w:t>
      </w:r>
    </w:p>
    <w:p w14:paraId="0ED40A3B" w14:textId="77777777" w:rsidR="001D1A71" w:rsidRPr="001D1A71" w:rsidRDefault="001D1A71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61F61DF1" w14:textId="3B8EBB6D" w:rsidR="003A5D1A" w:rsidRPr="001D1A71" w:rsidRDefault="00622AE7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BNP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i faste priser stiger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4B794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Kurven ned mod venstre.</w:t>
      </w:r>
    </w:p>
    <w:p w14:paraId="77992A0F" w14:textId="77777777" w:rsidR="001D1A71" w:rsidRPr="001D1A71" w:rsidRDefault="001D1A71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9E79020" w14:textId="2D38DE4D" w:rsidR="003A5D1A" w:rsidRPr="001D1A71" w:rsidRDefault="003A5D1A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Husholdningernes stigende usikkerhed om fremtidige indtægter og udgifter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684B4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Kurve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n</w:t>
      </w:r>
      <w:r w:rsidR="00684B4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ned mod venstre.</w:t>
      </w:r>
    </w:p>
    <w:p w14:paraId="49EF7D3B" w14:textId="77777777" w:rsidR="001D1A71" w:rsidRPr="001D1A71" w:rsidRDefault="001D1A71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390F2D8" w14:textId="2CFC33A3" w:rsidR="003A5D1A" w:rsidRPr="001D1A71" w:rsidRDefault="003A5D1A" w:rsidP="0098740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 generel stigning i den forventede fremtidige rente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BC3D1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På kort sigt op mod højre, på længere sigt ned mod venstre.</w:t>
      </w:r>
    </w:p>
    <w:p w14:paraId="466E243F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6AB07C5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6AC10C6D" w14:textId="62DA829E" w:rsidR="00737CAE" w:rsidRPr="001D1A71" w:rsidRDefault="003A5D1A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EA4907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1</w:t>
      </w:r>
      <w:r w:rsidR="00960F24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2</w:t>
      </w:r>
    </w:p>
    <w:p w14:paraId="196D07D5" w14:textId="2CDDA69D" w:rsidR="003A5D1A" w:rsidRPr="001D1A71" w:rsidRDefault="003A5D1A" w:rsidP="001D1A71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Inflation skyldes, at der er for mange penge i omløb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555ED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Inflation kan skyldes for stort pengeomløb.</w:t>
      </w:r>
    </w:p>
    <w:p w14:paraId="18280FA7" w14:textId="77777777" w:rsidR="001D1A71" w:rsidRPr="001D1A71" w:rsidRDefault="001D1A71" w:rsidP="001D1A71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6D223F0" w14:textId="7A4D8C36" w:rsidR="003A5D1A" w:rsidRPr="001D1A71" w:rsidRDefault="009B7DA5" w:rsidP="001D1A71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n falsk 500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-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kr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one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seddel kan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også 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være 500 kr. værd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555ED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Er </w:t>
      </w:r>
      <w:r w:rsidR="00DB77E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500 kr. værd, hvis modtager vil acceptere seddel.</w:t>
      </w:r>
    </w:p>
    <w:p w14:paraId="53ED3AC8" w14:textId="77777777" w:rsidR="001D1A71" w:rsidRPr="001D1A71" w:rsidRDefault="001D1A71" w:rsidP="001D1A71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6B97272" w14:textId="3FD19466" w:rsidR="003A5D1A" w:rsidRPr="001D1A71" w:rsidRDefault="009B7DA5" w:rsidP="001D1A71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Danske v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irksomheder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som ha</w:t>
      </w:r>
      <w:r w:rsidR="00622AE7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</w:t>
      </w:r>
      <w:r w:rsidR="003A5D1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optaget lån i </w:t>
      </w:r>
      <w:r w:rsidR="00A01E3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amerikanske dollars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</w:t>
      </w:r>
      <w:r w:rsidR="00A01E3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påføres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et </w:t>
      </w:r>
      <w:r w:rsidR="00A01E3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tab</w:t>
      </w:r>
      <w:r w:rsidR="0009767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når den danske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krone</w:t>
      </w:r>
      <w:r w:rsidR="0009767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taber værdi i forhold til dollaren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  <w:r w:rsidR="000653D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Ja, virksomheden skal bruge flere danske kroner for at købe dollars for at forrente og afvikle gæld.</w:t>
      </w:r>
    </w:p>
    <w:p w14:paraId="100E6BD4" w14:textId="77777777" w:rsidR="00987400" w:rsidRPr="001D1A71" w:rsidRDefault="00987400" w:rsidP="00AD00D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A55E0E4" w14:textId="77777777" w:rsidR="001D1A71" w:rsidRPr="001D1A71" w:rsidRDefault="001D1A71" w:rsidP="00AD00D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C57F60C" w14:textId="4DC7C0D1" w:rsidR="00AD00DC" w:rsidRPr="001D1A71" w:rsidRDefault="002407FB" w:rsidP="00AD00DC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5.13</w:t>
      </w:r>
    </w:p>
    <w:p w14:paraId="0343EEFB" w14:textId="6EB52239" w:rsidR="00566AC6" w:rsidRPr="001D1A71" w:rsidRDefault="0039307F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afsnit 5.1 i læ</w:t>
      </w:r>
      <w:r w:rsidR="006A6B8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rebog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6A6B8F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1614463B" w14:textId="2BAEF9B5" w:rsidR="006A6B8F" w:rsidRPr="001D1A71" w:rsidRDefault="006A6B8F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De ”små” sedler mest almindeligt brugte </w:t>
      </w:r>
      <w:r w:rsidR="005845C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ved daglighandel. Ved større tr</w:t>
      </w:r>
      <w:r w:rsidR="00DF08C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</w:t>
      </w:r>
      <w:r w:rsidR="005845C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nsaktioner bruges ofte kort </w:t>
      </w:r>
      <w:r w:rsidR="00DF08C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</w:t>
      </w:r>
      <w:r w:rsidR="005845C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ller mobilepay</w:t>
      </w:r>
      <w:r w:rsidR="00DF08C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6E6C750" w14:textId="40F7616B" w:rsidR="002E5E73" w:rsidRPr="001D1A71" w:rsidRDefault="00DF08C2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De ”store” sedler kan bruges </w:t>
      </w:r>
      <w:r w:rsidR="00582D0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som værdiopbevaringsmiddel</w:t>
      </w:r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eller til transaktioner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som de involverede ikke ønsker at afvikle via de etablerede kreditkanaler</w:t>
      </w:r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proofErr w:type="gramStart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( </w:t>
      </w:r>
      <w:proofErr w:type="spellStart"/>
      <w:r w:rsidR="00B379A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</w:t>
      </w:r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oni</w:t>
      </w:r>
      <w:proofErr w:type="spellEnd"/>
      <w:proofErr w:type="gramEnd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proofErr w:type="spellStart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soit</w:t>
      </w:r>
      <w:proofErr w:type="spellEnd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proofErr w:type="spellStart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qui</w:t>
      </w:r>
      <w:proofErr w:type="spellEnd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mal y </w:t>
      </w:r>
      <w:proofErr w:type="spellStart"/>
      <w:r w:rsidR="0041266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pense</w:t>
      </w:r>
      <w:proofErr w:type="spellEnd"/>
      <w:r w:rsidR="0049765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321F81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2E5E7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~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2E5E73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Skam få den, der tænker ilde derom)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5F230C2D" w14:textId="77777777" w:rsidR="00566AC6" w:rsidRPr="001D1A71" w:rsidRDefault="00566AC6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BA159E1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53686B76" w14:textId="46725618" w:rsidR="00A01E3D" w:rsidRPr="001D1A71" w:rsidRDefault="00A01E3D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</w:t>
      </w:r>
      <w:r w:rsidR="00293D6B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4</w:t>
      </w:r>
    </w:p>
    <w:p w14:paraId="4F199B82" w14:textId="3A95F1F6" w:rsidR="00A9573A" w:rsidRPr="001D1A71" w:rsidRDefault="00A9573A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lærebog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afsnit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5.6.2</w:t>
      </w:r>
    </w:p>
    <w:p w14:paraId="39716112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3801D86B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65FD2157" w14:textId="42AD423F" w:rsidR="00A01E3D" w:rsidRPr="001D1A71" w:rsidRDefault="00A01E3D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</w:t>
      </w:r>
      <w:r w:rsidR="00293D6B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</w:t>
      </w:r>
    </w:p>
    <w:p w14:paraId="0ACD321F" w14:textId="40CB4925" w:rsidR="005A3878" w:rsidRPr="001D1A71" w:rsidRDefault="005A3878" w:rsidP="003D4DA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lastRenderedPageBreak/>
        <w:t>Omlægning kan f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.eks.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skyldes pris</w:t>
      </w:r>
      <w:r w:rsidR="00EE446C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ændringer i Tyskland/UK, val</w:t>
      </w:r>
      <w:r w:rsidR="001C64FE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utakursændringer, ændringer i told/ handelsrestriktioner</w:t>
      </w:r>
      <w:r w:rsidR="0079097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Brexit.</w:t>
      </w:r>
    </w:p>
    <w:p w14:paraId="2CCAA44F" w14:textId="0F5AB02B" w:rsidR="0079097B" w:rsidRPr="001D1A71" w:rsidRDefault="0079097B" w:rsidP="003D4DA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Alt andet lige</w:t>
      </w:r>
      <w:r w:rsidR="00FE069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vil det svække økonomi i UK og styrke økonomi i Tyskland </w:t>
      </w:r>
      <w:r w:rsidR="004B6F1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sym w:font="Wingdings" w:char="F0E0"/>
      </w:r>
      <w:r w:rsidR="004B6F1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prisstigningstendens i Tyskland og prisfald i UK</w:t>
      </w:r>
      <w:r w:rsidR="00E4313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525121A" w14:textId="094B39C8" w:rsidR="002A42C4" w:rsidRPr="001D1A71" w:rsidRDefault="00CE209F" w:rsidP="003D4DA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I en situation med fri bevægelighed for varer landene </w:t>
      </w:r>
      <w:r w:rsidR="00283AA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imellem vil indvirkning på dansk produktion være ringe, men ved Brexit kan</w:t>
      </w:r>
      <w:r w:rsidR="008732C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der indtræde handelspolitiske reaktioner</w:t>
      </w:r>
      <w:r w:rsidR="0072137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se lærebog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 afsnit</w:t>
      </w:r>
      <w:r w:rsidR="00721374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6.6.</w:t>
      </w:r>
    </w:p>
    <w:p w14:paraId="0DD8978C" w14:textId="77777777" w:rsidR="00E43136" w:rsidRPr="001D1A71" w:rsidRDefault="00E43136" w:rsidP="003D4DA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DA5CF39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</w:p>
    <w:p w14:paraId="2E6BB30E" w14:textId="3FE14932" w:rsidR="00A01E3D" w:rsidRPr="001D1A71" w:rsidRDefault="00865DE1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</w:t>
      </w:r>
      <w:r w:rsidR="00293D6B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6</w:t>
      </w:r>
    </w:p>
    <w:p w14:paraId="2F5ADD35" w14:textId="363B8DCC" w:rsidR="00A52126" w:rsidRPr="001D1A71" w:rsidRDefault="00AA37DD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lærebog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afsnit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5.2.2.</w:t>
      </w:r>
    </w:p>
    <w:p w14:paraId="6D0B95D2" w14:textId="77777777" w:rsidR="00EA4907" w:rsidRPr="001D1A71" w:rsidRDefault="00EA4907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9D845E1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DC73892" w14:textId="6A1D6242" w:rsidR="0009767F" w:rsidRPr="001D1A71" w:rsidRDefault="0009767F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</w:t>
      </w:r>
      <w:r w:rsidR="00AD00DC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7</w:t>
      </w:r>
    </w:p>
    <w:p w14:paraId="48232C0B" w14:textId="74562501" w:rsidR="009A66F0" w:rsidRPr="001D1A71" w:rsidRDefault="009A66F0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Man køber normalt </w:t>
      </w:r>
      <w:r w:rsidR="008643A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bolig ud fra den ydelse, man kan/vil betale. Stigende rente </w:t>
      </w:r>
      <w:r w:rsidR="008643A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sym w:font="Wingdings" w:char="F0E0"/>
      </w:r>
      <w:r w:rsidR="008643A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højere ydelse </w:t>
      </w:r>
      <w:r w:rsidR="008643A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sym w:font="Wingdings" w:char="F0E0"/>
      </w:r>
      <w:r w:rsidR="008643A5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faldende pris</w:t>
      </w:r>
      <w:r w:rsidR="00D35C8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7D68429" w14:textId="0EC37D0F" w:rsidR="00D35C82" w:rsidRPr="001D1A71" w:rsidRDefault="00D35C82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De to kommuner er næsten nabokommuner og </w:t>
      </w:r>
      <w:r w:rsidR="006E60B9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efterspørges ofte af samme segment. Den stigende ydelse vil slå hårdest igennem på Frederiksberg</w:t>
      </w:r>
      <w:r w:rsidR="000C71A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, man kunne tænke sig en </w:t>
      </w:r>
      <w:r w:rsidR="00B3556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relativ </w:t>
      </w:r>
      <w:r w:rsidR="000C71A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forøget efterspørgsel i Gentofte </w:t>
      </w:r>
      <w:r w:rsidR="000C71A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sym w:font="Wingdings" w:char="F0E0"/>
      </w:r>
      <w:r w:rsidR="000C71AD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relativt stigende priser i Gentofte i</w:t>
      </w:r>
      <w:r w:rsidR="00B3556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ft. Frederiksberg.</w:t>
      </w:r>
    </w:p>
    <w:p w14:paraId="10C41648" w14:textId="77777777" w:rsidR="007A2481" w:rsidRPr="001D1A71" w:rsidRDefault="007A248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D4A162A" w14:textId="77777777" w:rsidR="0009767F" w:rsidRPr="001D1A71" w:rsidRDefault="0009767F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63E98F1" w14:textId="78C6AAFC" w:rsidR="007A1026" w:rsidRPr="001D1A71" w:rsidRDefault="007A1026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</w:t>
      </w:r>
      <w:r w:rsidR="00AD00DC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8</w:t>
      </w:r>
    </w:p>
    <w:p w14:paraId="307BAAE6" w14:textId="6708C81F" w:rsidR="002D1CC9" w:rsidRPr="001D1A71" w:rsidRDefault="00152030" w:rsidP="002D1CC9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 samfundsøkonomiske konsekvenser af en boble kan være voldsomt fald i priser</w:t>
      </w:r>
      <w:r w:rsidR="00C74D3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 Långivere kan tabe penge</w:t>
      </w:r>
      <w:r w:rsidR="0011602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( </w:t>
      </w:r>
      <w:r w:rsidR="0011602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sym w:font="Wingdings" w:char="F0E0"/>
      </w:r>
      <w:r w:rsidR="0011602A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krak i finansielle institutioner?)</w:t>
      </w:r>
      <w:r w:rsidR="00C74D3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ejere kan blive in</w:t>
      </w:r>
      <w:r w:rsidR="00E810A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</w:t>
      </w:r>
      <w:r w:rsidR="00C74D3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olvente</w:t>
      </w:r>
      <w:r w:rsidR="00E810A6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/ teknisk insolvente</w:t>
      </w:r>
      <w:r w:rsidR="00C74D32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markedet kan gå i stå</w:t>
      </w:r>
      <w:r w:rsidR="00C41F4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mm.</w:t>
      </w:r>
    </w:p>
    <w:p w14:paraId="56F237E2" w14:textId="523D3A0C" w:rsidR="00C41F40" w:rsidRPr="001D1A71" w:rsidRDefault="00C41F40" w:rsidP="002D1CC9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Bobler kan </w:t>
      </w:r>
      <w:r w:rsidR="00B0374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begrænses ved stramme</w:t>
      </w:r>
      <w:r w:rsidR="00CB0BB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re</w:t>
      </w:r>
      <w:r w:rsidR="00B0374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lånevilkår, højere renter</w:t>
      </w:r>
      <w:r w:rsidR="00CB0BB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eller højere</w:t>
      </w:r>
      <w:r w:rsidR="00BF3E9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boligbeskatning</w:t>
      </w:r>
      <w:r w:rsidR="00CB0BB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</w:t>
      </w:r>
      <w:r w:rsidR="00BF3E9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der </w:t>
      </w:r>
      <w:proofErr w:type="spellStart"/>
      <w:r w:rsidR="00BF3E9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alt</w:t>
      </w:r>
      <w:r w:rsidR="00CB0BB7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sammen</w:t>
      </w:r>
      <w:proofErr w:type="spellEnd"/>
      <w:r w:rsidR="00BF3E9B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vil begrænse efterspørgslen efter m</w:t>
      </w:r>
      <w:r w:rsidR="00E52D0C" w:rsidRPr="001D1A7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da-DK"/>
        </w:rPr>
        <w:t>2</w:t>
      </w:r>
      <w:r w:rsidR="00E52D0C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5E234E2A" w14:textId="02A4BE43" w:rsidR="00593E52" w:rsidRPr="001D1A71" w:rsidRDefault="00593E52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8FDADBE" w14:textId="77777777" w:rsidR="001D1A71" w:rsidRPr="001D1A71" w:rsidRDefault="001D1A71" w:rsidP="00EA490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6720D00" w14:textId="48094EA1" w:rsidR="00593E52" w:rsidRPr="001D1A71" w:rsidRDefault="00593E52" w:rsidP="00EA4907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5.1</w:t>
      </w:r>
      <w:r w:rsidR="00AD00DC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9</w:t>
      </w:r>
    </w:p>
    <w:p w14:paraId="0720BA12" w14:textId="6D8852D5" w:rsidR="007319E8" w:rsidRPr="001D1A71" w:rsidRDefault="007319E8" w:rsidP="0077354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lærebog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figur 5.8 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på </w:t>
      </w: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s. 145</w:t>
      </w:r>
      <w:r w:rsidR="00987400"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1DEA9E5" w14:textId="77777777" w:rsidR="00987400" w:rsidRPr="001D1A71" w:rsidRDefault="00987400" w:rsidP="0077354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6FF262A" w14:textId="77777777" w:rsidR="001D1A71" w:rsidRPr="001D1A71" w:rsidRDefault="001D1A71" w:rsidP="0077354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62AA6EAD" w14:textId="51ED185E" w:rsidR="00A22658" w:rsidRPr="001D1A71" w:rsidRDefault="00832A16" w:rsidP="00AD0EF1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</w:t>
      </w:r>
      <w:r w:rsidR="00AD00DC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20</w:t>
      </w:r>
    </w:p>
    <w:p w14:paraId="50524850" w14:textId="3D19A7FA" w:rsidR="00B6066A" w:rsidRPr="001D1A71" w:rsidRDefault="00A66E14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Diskussion </w:t>
      </w:r>
      <w:r w:rsidR="0028094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af de to artikler.</w:t>
      </w:r>
    </w:p>
    <w:p w14:paraId="356818C9" w14:textId="11E8B08F" w:rsidR="001D1A71" w:rsidRDefault="001D1A71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6CA1B64" w14:textId="77777777" w:rsidR="00CB0BB7" w:rsidRPr="001D1A71" w:rsidRDefault="00CB0BB7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E5AFB5A" w14:textId="3824B44B" w:rsidR="00D25051" w:rsidRPr="001D1A71" w:rsidRDefault="00D25051" w:rsidP="00593E52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5.2</w:t>
      </w:r>
      <w:r w:rsidR="00AD00DC" w:rsidRPr="001D1A71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1</w:t>
      </w:r>
    </w:p>
    <w:p w14:paraId="5C40C210" w14:textId="7D6E7A58" w:rsidR="00987400" w:rsidRDefault="00987400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1D1A71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Se lærebogen afsnit 1.5 og 5.6.</w:t>
      </w:r>
    </w:p>
    <w:p w14:paraId="12587F2D" w14:textId="3289A312" w:rsidR="004B7E63" w:rsidRDefault="004B7E63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6541B7E9" w14:textId="77777777" w:rsidR="00CB0BB7" w:rsidRDefault="00CB0BB7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554391AA" w14:textId="273BED81" w:rsidR="004B7E63" w:rsidRPr="009800F4" w:rsidRDefault="009800F4" w:rsidP="00593E5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da-DK"/>
        </w:rPr>
      </w:pPr>
      <w:r w:rsidRPr="009800F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da-DK"/>
        </w:rPr>
        <w:t>5.22</w:t>
      </w:r>
    </w:p>
    <w:p w14:paraId="411340A9" w14:textId="744EA370" w:rsidR="009800F4" w:rsidRDefault="009800F4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Diskussion af genopretningsfonden.</w:t>
      </w:r>
    </w:p>
    <w:p w14:paraId="07E0E824" w14:textId="253965B3" w:rsidR="003C4345" w:rsidRDefault="003C4345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5FF47C4" w14:textId="77777777" w:rsidR="00CB0BB7" w:rsidRDefault="00CB0BB7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4596B4A" w14:textId="6B6936FF" w:rsidR="003C4345" w:rsidRPr="00CB1D0A" w:rsidRDefault="003C4345" w:rsidP="00593E5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da-DK"/>
        </w:rPr>
      </w:pPr>
      <w:r w:rsidRPr="00CB1D0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da-DK"/>
        </w:rPr>
        <w:t>5.23</w:t>
      </w:r>
    </w:p>
    <w:p w14:paraId="3E6FB645" w14:textId="495A25DD" w:rsidR="003C4345" w:rsidRDefault="003C4345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Diskussion af det rimelige i de negative renter</w:t>
      </w:r>
      <w:r w:rsidR="00CB1D0A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226B6322" w14:textId="4D70E579" w:rsidR="00CB1D0A" w:rsidRDefault="00CB1D0A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F20206E" w14:textId="77777777" w:rsidR="00CB0BB7" w:rsidRDefault="00CB0BB7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41A59FBF" w14:textId="0D4AA330" w:rsidR="00CB1D0A" w:rsidRPr="00CB1D0A" w:rsidRDefault="00CB1D0A" w:rsidP="00593E5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da-DK"/>
        </w:rPr>
      </w:pPr>
      <w:r w:rsidRPr="00CB1D0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da-DK"/>
        </w:rPr>
        <w:t>5.24</w:t>
      </w:r>
    </w:p>
    <w:p w14:paraId="036311BA" w14:textId="5D2B7090" w:rsidR="00CB1D0A" w:rsidRPr="001D1A71" w:rsidRDefault="00CB1D0A" w:rsidP="00593E5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Svarene gives af Michael Møller i podcasten.</w:t>
      </w:r>
    </w:p>
    <w:sectPr w:rsidR="00CB1D0A" w:rsidRPr="001D1A71" w:rsidSect="00934EC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D408" w14:textId="77777777" w:rsidR="00154299" w:rsidRDefault="00154299" w:rsidP="00EA4907">
      <w:pPr>
        <w:spacing w:after="0" w:line="240" w:lineRule="auto"/>
      </w:pPr>
      <w:r>
        <w:separator/>
      </w:r>
    </w:p>
  </w:endnote>
  <w:endnote w:type="continuationSeparator" w:id="0">
    <w:p w14:paraId="45494EAE" w14:textId="77777777" w:rsidR="00154299" w:rsidRDefault="00154299" w:rsidP="00EA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134D" w14:textId="01ECA2A2" w:rsidR="00987400" w:rsidRDefault="00987400">
    <w:pPr>
      <w:pStyle w:val="Sidefod"/>
    </w:pPr>
  </w:p>
  <w:p w14:paraId="0219AE72" w14:textId="77777777" w:rsidR="00987400" w:rsidRDefault="009874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9CBC" w14:textId="77777777" w:rsidR="00154299" w:rsidRDefault="00154299" w:rsidP="00EA4907">
      <w:pPr>
        <w:spacing w:after="0" w:line="240" w:lineRule="auto"/>
      </w:pPr>
      <w:r>
        <w:separator/>
      </w:r>
    </w:p>
  </w:footnote>
  <w:footnote w:type="continuationSeparator" w:id="0">
    <w:p w14:paraId="7B9636C3" w14:textId="77777777" w:rsidR="00154299" w:rsidRDefault="00154299" w:rsidP="00EA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610"/>
    <w:multiLevelType w:val="hybridMultilevel"/>
    <w:tmpl w:val="C6820E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AEF"/>
    <w:multiLevelType w:val="hybridMultilevel"/>
    <w:tmpl w:val="E5D47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430"/>
    <w:multiLevelType w:val="hybridMultilevel"/>
    <w:tmpl w:val="E8C0CC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3D1"/>
    <w:multiLevelType w:val="hybridMultilevel"/>
    <w:tmpl w:val="EE605C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D28F0"/>
    <w:multiLevelType w:val="hybridMultilevel"/>
    <w:tmpl w:val="930A7D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C82"/>
    <w:multiLevelType w:val="hybridMultilevel"/>
    <w:tmpl w:val="B4641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599"/>
    <w:multiLevelType w:val="hybridMultilevel"/>
    <w:tmpl w:val="9A7C0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1506"/>
    <w:multiLevelType w:val="hybridMultilevel"/>
    <w:tmpl w:val="8A845F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401DD"/>
    <w:multiLevelType w:val="hybridMultilevel"/>
    <w:tmpl w:val="6116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C7521"/>
    <w:multiLevelType w:val="hybridMultilevel"/>
    <w:tmpl w:val="61CE90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7068"/>
    <w:multiLevelType w:val="hybridMultilevel"/>
    <w:tmpl w:val="B53E90B2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15880"/>
    <w:multiLevelType w:val="hybridMultilevel"/>
    <w:tmpl w:val="2834A7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52D3"/>
    <w:multiLevelType w:val="hybridMultilevel"/>
    <w:tmpl w:val="B642AF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915F3"/>
    <w:multiLevelType w:val="hybridMultilevel"/>
    <w:tmpl w:val="3ED009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60F6E"/>
    <w:multiLevelType w:val="hybridMultilevel"/>
    <w:tmpl w:val="65500EA8"/>
    <w:lvl w:ilvl="0" w:tplc="A7829F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C665B"/>
    <w:multiLevelType w:val="hybridMultilevel"/>
    <w:tmpl w:val="F38AB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30170"/>
    <w:multiLevelType w:val="hybridMultilevel"/>
    <w:tmpl w:val="70A62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A3B86"/>
    <w:multiLevelType w:val="hybridMultilevel"/>
    <w:tmpl w:val="345AB2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119E"/>
    <w:multiLevelType w:val="hybridMultilevel"/>
    <w:tmpl w:val="02049D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D41AC"/>
    <w:multiLevelType w:val="hybridMultilevel"/>
    <w:tmpl w:val="60B20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679AD"/>
    <w:multiLevelType w:val="hybridMultilevel"/>
    <w:tmpl w:val="0B5AF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0"/>
  </w:num>
  <w:num w:numId="5">
    <w:abstractNumId w:val="19"/>
  </w:num>
  <w:num w:numId="6">
    <w:abstractNumId w:val="11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16"/>
  </w:num>
  <w:num w:numId="13">
    <w:abstractNumId w:val="12"/>
  </w:num>
  <w:num w:numId="14">
    <w:abstractNumId w:val="14"/>
  </w:num>
  <w:num w:numId="15">
    <w:abstractNumId w:val="10"/>
  </w:num>
  <w:num w:numId="16">
    <w:abstractNumId w:val="9"/>
  </w:num>
  <w:num w:numId="17">
    <w:abstractNumId w:val="20"/>
  </w:num>
  <w:num w:numId="18">
    <w:abstractNumId w:val="2"/>
  </w:num>
  <w:num w:numId="19">
    <w:abstractNumId w:val="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72"/>
    <w:rsid w:val="0004180C"/>
    <w:rsid w:val="000653DF"/>
    <w:rsid w:val="00074902"/>
    <w:rsid w:val="000837EE"/>
    <w:rsid w:val="00097155"/>
    <w:rsid w:val="0009767F"/>
    <w:rsid w:val="000C04F4"/>
    <w:rsid w:val="000C71AD"/>
    <w:rsid w:val="000D16A1"/>
    <w:rsid w:val="000E20C8"/>
    <w:rsid w:val="000E3741"/>
    <w:rsid w:val="00105441"/>
    <w:rsid w:val="0010659E"/>
    <w:rsid w:val="0011602A"/>
    <w:rsid w:val="00152030"/>
    <w:rsid w:val="00154299"/>
    <w:rsid w:val="0016354C"/>
    <w:rsid w:val="001A24BB"/>
    <w:rsid w:val="001B6017"/>
    <w:rsid w:val="001C64FE"/>
    <w:rsid w:val="001C68D9"/>
    <w:rsid w:val="001D0E84"/>
    <w:rsid w:val="001D1A71"/>
    <w:rsid w:val="00205D84"/>
    <w:rsid w:val="00207CDF"/>
    <w:rsid w:val="002134A6"/>
    <w:rsid w:val="00222C1F"/>
    <w:rsid w:val="002407FB"/>
    <w:rsid w:val="00253B56"/>
    <w:rsid w:val="00267E3B"/>
    <w:rsid w:val="00280941"/>
    <w:rsid w:val="00283AA0"/>
    <w:rsid w:val="00293D6B"/>
    <w:rsid w:val="002A42C4"/>
    <w:rsid w:val="002A48C3"/>
    <w:rsid w:val="002A50CF"/>
    <w:rsid w:val="002B63F2"/>
    <w:rsid w:val="002B754D"/>
    <w:rsid w:val="002C6979"/>
    <w:rsid w:val="002D1CC9"/>
    <w:rsid w:val="002E4351"/>
    <w:rsid w:val="002E5E73"/>
    <w:rsid w:val="003054D2"/>
    <w:rsid w:val="00321F81"/>
    <w:rsid w:val="003259B9"/>
    <w:rsid w:val="00331E8B"/>
    <w:rsid w:val="00335A4D"/>
    <w:rsid w:val="00356E4D"/>
    <w:rsid w:val="00375946"/>
    <w:rsid w:val="0039307F"/>
    <w:rsid w:val="003A5D1A"/>
    <w:rsid w:val="003C4345"/>
    <w:rsid w:val="003D2690"/>
    <w:rsid w:val="003D4DA6"/>
    <w:rsid w:val="003E5637"/>
    <w:rsid w:val="004031FB"/>
    <w:rsid w:val="00412663"/>
    <w:rsid w:val="00426197"/>
    <w:rsid w:val="004323D5"/>
    <w:rsid w:val="004349AA"/>
    <w:rsid w:val="00470EA9"/>
    <w:rsid w:val="004863EB"/>
    <w:rsid w:val="00491D50"/>
    <w:rsid w:val="00497655"/>
    <w:rsid w:val="004A2B9A"/>
    <w:rsid w:val="004A328D"/>
    <w:rsid w:val="004B1417"/>
    <w:rsid w:val="004B6F1D"/>
    <w:rsid w:val="004B7949"/>
    <w:rsid w:val="004B7E63"/>
    <w:rsid w:val="005262B9"/>
    <w:rsid w:val="0053681B"/>
    <w:rsid w:val="00545E91"/>
    <w:rsid w:val="00552303"/>
    <w:rsid w:val="00555ED2"/>
    <w:rsid w:val="00561A69"/>
    <w:rsid w:val="00566AC6"/>
    <w:rsid w:val="00582D0D"/>
    <w:rsid w:val="00583B6B"/>
    <w:rsid w:val="005845C2"/>
    <w:rsid w:val="00593E52"/>
    <w:rsid w:val="005A3878"/>
    <w:rsid w:val="005D25FC"/>
    <w:rsid w:val="005E0A73"/>
    <w:rsid w:val="005E3BF2"/>
    <w:rsid w:val="00622AE7"/>
    <w:rsid w:val="006243EE"/>
    <w:rsid w:val="006528C6"/>
    <w:rsid w:val="00684B4F"/>
    <w:rsid w:val="006A56DB"/>
    <w:rsid w:val="006A6B8F"/>
    <w:rsid w:val="006A7D82"/>
    <w:rsid w:val="006C6FE4"/>
    <w:rsid w:val="006C778E"/>
    <w:rsid w:val="006D641C"/>
    <w:rsid w:val="006D6DDA"/>
    <w:rsid w:val="006E60B9"/>
    <w:rsid w:val="006F6935"/>
    <w:rsid w:val="006F7FC3"/>
    <w:rsid w:val="00702DC6"/>
    <w:rsid w:val="007125C7"/>
    <w:rsid w:val="00721374"/>
    <w:rsid w:val="007319E8"/>
    <w:rsid w:val="00735CCC"/>
    <w:rsid w:val="00737CAE"/>
    <w:rsid w:val="00755443"/>
    <w:rsid w:val="00773544"/>
    <w:rsid w:val="007762E1"/>
    <w:rsid w:val="00785CE4"/>
    <w:rsid w:val="0079097B"/>
    <w:rsid w:val="007A1026"/>
    <w:rsid w:val="007A2481"/>
    <w:rsid w:val="007A2EFC"/>
    <w:rsid w:val="007F54F4"/>
    <w:rsid w:val="008230B4"/>
    <w:rsid w:val="00832957"/>
    <w:rsid w:val="00832A16"/>
    <w:rsid w:val="0084612B"/>
    <w:rsid w:val="00857785"/>
    <w:rsid w:val="008643A5"/>
    <w:rsid w:val="00865DE1"/>
    <w:rsid w:val="00867EBB"/>
    <w:rsid w:val="008709BA"/>
    <w:rsid w:val="00871FEE"/>
    <w:rsid w:val="008732CA"/>
    <w:rsid w:val="00883FD8"/>
    <w:rsid w:val="008A05BC"/>
    <w:rsid w:val="008C3385"/>
    <w:rsid w:val="008E6B85"/>
    <w:rsid w:val="00902B65"/>
    <w:rsid w:val="00905622"/>
    <w:rsid w:val="009178D5"/>
    <w:rsid w:val="009244D0"/>
    <w:rsid w:val="00934ECC"/>
    <w:rsid w:val="0095350A"/>
    <w:rsid w:val="00960F24"/>
    <w:rsid w:val="00961396"/>
    <w:rsid w:val="009800F4"/>
    <w:rsid w:val="00986C03"/>
    <w:rsid w:val="00987400"/>
    <w:rsid w:val="009A1E14"/>
    <w:rsid w:val="009A66F0"/>
    <w:rsid w:val="009B5996"/>
    <w:rsid w:val="009B7DA5"/>
    <w:rsid w:val="009C3263"/>
    <w:rsid w:val="009E4A4F"/>
    <w:rsid w:val="009F1988"/>
    <w:rsid w:val="009F507B"/>
    <w:rsid w:val="00A01E3D"/>
    <w:rsid w:val="00A02D0E"/>
    <w:rsid w:val="00A12001"/>
    <w:rsid w:val="00A22658"/>
    <w:rsid w:val="00A52126"/>
    <w:rsid w:val="00A6312B"/>
    <w:rsid w:val="00A66E14"/>
    <w:rsid w:val="00A82968"/>
    <w:rsid w:val="00A93C77"/>
    <w:rsid w:val="00A9573A"/>
    <w:rsid w:val="00AA37DD"/>
    <w:rsid w:val="00AB2D48"/>
    <w:rsid w:val="00AC6038"/>
    <w:rsid w:val="00AD00DC"/>
    <w:rsid w:val="00AD0EF1"/>
    <w:rsid w:val="00AE216E"/>
    <w:rsid w:val="00AF7104"/>
    <w:rsid w:val="00B0235A"/>
    <w:rsid w:val="00B0374B"/>
    <w:rsid w:val="00B15899"/>
    <w:rsid w:val="00B30818"/>
    <w:rsid w:val="00B3556B"/>
    <w:rsid w:val="00B379AB"/>
    <w:rsid w:val="00B4404E"/>
    <w:rsid w:val="00B6066A"/>
    <w:rsid w:val="00B6345C"/>
    <w:rsid w:val="00BA2DB0"/>
    <w:rsid w:val="00BC3D14"/>
    <w:rsid w:val="00BE0745"/>
    <w:rsid w:val="00BF3E9B"/>
    <w:rsid w:val="00C07F69"/>
    <w:rsid w:val="00C1033E"/>
    <w:rsid w:val="00C41F40"/>
    <w:rsid w:val="00C43E62"/>
    <w:rsid w:val="00C46C45"/>
    <w:rsid w:val="00C520A8"/>
    <w:rsid w:val="00C60024"/>
    <w:rsid w:val="00C74D32"/>
    <w:rsid w:val="00CA58A4"/>
    <w:rsid w:val="00CA6B13"/>
    <w:rsid w:val="00CB0BB7"/>
    <w:rsid w:val="00CB1D0A"/>
    <w:rsid w:val="00CC3A3F"/>
    <w:rsid w:val="00CE209F"/>
    <w:rsid w:val="00D00208"/>
    <w:rsid w:val="00D15976"/>
    <w:rsid w:val="00D15A31"/>
    <w:rsid w:val="00D25051"/>
    <w:rsid w:val="00D3005E"/>
    <w:rsid w:val="00D35C82"/>
    <w:rsid w:val="00D427B5"/>
    <w:rsid w:val="00D62FC0"/>
    <w:rsid w:val="00D91750"/>
    <w:rsid w:val="00D97B72"/>
    <w:rsid w:val="00DA5E8D"/>
    <w:rsid w:val="00DB1F69"/>
    <w:rsid w:val="00DB77E7"/>
    <w:rsid w:val="00DF08C2"/>
    <w:rsid w:val="00DF1EB2"/>
    <w:rsid w:val="00E16654"/>
    <w:rsid w:val="00E37B30"/>
    <w:rsid w:val="00E40F74"/>
    <w:rsid w:val="00E43136"/>
    <w:rsid w:val="00E52A0F"/>
    <w:rsid w:val="00E52D0C"/>
    <w:rsid w:val="00E76B32"/>
    <w:rsid w:val="00E810A6"/>
    <w:rsid w:val="00E90503"/>
    <w:rsid w:val="00E94988"/>
    <w:rsid w:val="00E94ED1"/>
    <w:rsid w:val="00EA4907"/>
    <w:rsid w:val="00EA5AAB"/>
    <w:rsid w:val="00EB0ED6"/>
    <w:rsid w:val="00EB6E17"/>
    <w:rsid w:val="00EE446C"/>
    <w:rsid w:val="00F2667B"/>
    <w:rsid w:val="00FB5C05"/>
    <w:rsid w:val="00FE0694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006F0"/>
  <w15:docId w15:val="{489784EB-6D75-45B5-9375-7B7D35D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CC"/>
    <w:rPr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2A5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97B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667B"/>
    <w:rPr>
      <w:rFonts w:ascii="Tahoma" w:hAnsi="Tahoma" w:cs="Tahoma"/>
      <w:sz w:val="16"/>
      <w:szCs w:val="16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EA4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4907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EA4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4907"/>
    <w:rPr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A50C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782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Arkiver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Niels Houlberg Hansen</cp:lastModifiedBy>
  <cp:revision>9</cp:revision>
  <cp:lastPrinted>2014-07-20T08:12:00Z</cp:lastPrinted>
  <dcterms:created xsi:type="dcterms:W3CDTF">2020-07-22T11:59:00Z</dcterms:created>
  <dcterms:modified xsi:type="dcterms:W3CDTF">2021-07-22T09:17:00Z</dcterms:modified>
</cp:coreProperties>
</file>