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4B326" w14:textId="3BBE63C4" w:rsidR="00D00956" w:rsidRDefault="00073483" w:rsidP="00D00956">
      <w:pPr>
        <w:spacing w:after="0"/>
        <w:rPr>
          <w:rFonts w:ascii="Times New Roman" w:hAnsi="Times New Roman" w:cs="Times New Roman"/>
          <w:b/>
          <w:sz w:val="20"/>
          <w:szCs w:val="20"/>
          <w:lang w:val="da-DK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  <w:lang w:val="da-DK"/>
        </w:rPr>
        <w:t>Løsninger til k</w:t>
      </w:r>
      <w:r w:rsidR="00D00956">
        <w:rPr>
          <w:rFonts w:ascii="Times New Roman" w:hAnsi="Times New Roman" w:cs="Times New Roman"/>
          <w:b/>
          <w:sz w:val="20"/>
          <w:szCs w:val="20"/>
          <w:lang w:val="da-DK"/>
        </w:rPr>
        <w:t>apitel 6: Den globale økonomi</w:t>
      </w:r>
    </w:p>
    <w:p w14:paraId="5B8782E0" w14:textId="77777777" w:rsidR="00D00956" w:rsidRPr="00EB3377" w:rsidRDefault="00D00956" w:rsidP="0049264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11563F9F" w14:textId="77777777" w:rsidR="00860133" w:rsidRPr="00EB3377" w:rsidRDefault="00860133" w:rsidP="0049264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EB3377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6.1</w:t>
      </w:r>
    </w:p>
    <w:p w14:paraId="18B96AA5" w14:textId="229BE999" w:rsidR="000C5A97" w:rsidRPr="00EB3377" w:rsidRDefault="000C5A97" w:rsidP="004926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Se lærebog</w:t>
      </w:r>
      <w:r w:rsidR="00D00956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en afsnit</w:t>
      </w: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. </w:t>
      </w:r>
      <w:r w:rsidR="005946C5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6.5</w:t>
      </w:r>
    </w:p>
    <w:p w14:paraId="0F1C4AB3" w14:textId="77777777" w:rsidR="004C7170" w:rsidRPr="00EB3377" w:rsidRDefault="004C7170" w:rsidP="004926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32FBD845" w14:textId="77777777" w:rsidR="00D00956" w:rsidRPr="00EB3377" w:rsidRDefault="00D00956" w:rsidP="004926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2F4324F4" w14:textId="77777777" w:rsidR="00860133" w:rsidRPr="00EB3377" w:rsidRDefault="00860133" w:rsidP="0049264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EB3377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6.2</w:t>
      </w:r>
    </w:p>
    <w:p w14:paraId="1B57F4DB" w14:textId="4DD4AE77" w:rsidR="00707D77" w:rsidRPr="00EB3377" w:rsidRDefault="00602C54" w:rsidP="004926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Se lærebog</w:t>
      </w:r>
      <w:r w:rsidR="00D00956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en afsnit</w:t>
      </w: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1.6,</w:t>
      </w:r>
      <w:r w:rsidR="00F118C5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herunder især</w:t>
      </w:r>
    </w:p>
    <w:p w14:paraId="4F7BB3BF" w14:textId="61DCF609" w:rsidR="00F118C5" w:rsidRPr="00EB3377" w:rsidRDefault="00F118C5" w:rsidP="00883CFF">
      <w:pPr>
        <w:pStyle w:val="Listeafsnit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Pengepolitik</w:t>
      </w:r>
    </w:p>
    <w:p w14:paraId="63A23700" w14:textId="2918B818" w:rsidR="00F118C5" w:rsidRPr="00EB3377" w:rsidRDefault="007D499F" w:rsidP="00883CFF">
      <w:pPr>
        <w:pStyle w:val="Listeafsnit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H</w:t>
      </w:r>
      <w:r w:rsidR="00F118C5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andelspolitik</w:t>
      </w: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(se end</w:t>
      </w:r>
      <w:r w:rsidR="00E60DF5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videre </w:t>
      </w:r>
      <w:r w:rsidR="00D00956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afsnit</w:t>
      </w: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6.5 </w:t>
      </w:r>
      <w:r w:rsidR="00E60DF5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og 6.6)</w:t>
      </w:r>
    </w:p>
    <w:p w14:paraId="602A832D" w14:textId="5AEE0BF2" w:rsidR="00E60DF5" w:rsidRPr="00EB3377" w:rsidRDefault="00883CFF" w:rsidP="00883CFF">
      <w:pPr>
        <w:pStyle w:val="Listeafsnit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Valutakurspolitik</w:t>
      </w:r>
    </w:p>
    <w:p w14:paraId="4C101C29" w14:textId="0F9821DC" w:rsidR="00883CFF" w:rsidRPr="00EB3377" w:rsidRDefault="00883CFF" w:rsidP="00883CFF">
      <w:pPr>
        <w:pStyle w:val="Listeafsnit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Indkomstpolitik </w:t>
      </w:r>
    </w:p>
    <w:p w14:paraId="4F8088BA" w14:textId="77777777" w:rsidR="00F118C5" w:rsidRPr="00EB3377" w:rsidRDefault="00F118C5" w:rsidP="004926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4B6A7DA2" w14:textId="77777777" w:rsidR="004C7170" w:rsidRPr="00EB3377" w:rsidRDefault="004C7170" w:rsidP="004926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571AB465" w14:textId="77777777" w:rsidR="001B3427" w:rsidRPr="00EB3377" w:rsidRDefault="00860133" w:rsidP="0049264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EB3377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6.3</w:t>
      </w:r>
    </w:p>
    <w:p w14:paraId="03E243D2" w14:textId="4AAB6362" w:rsidR="0016672B" w:rsidRPr="00542D3B" w:rsidRDefault="0016672B" w:rsidP="00542D3B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Et dansk trykkeri køber en trykmaskine i Tyskland</w:t>
      </w:r>
      <w:r w:rsidR="00542D3B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</w:p>
    <w:p w14:paraId="1A508EC2" w14:textId="0F16AC7F" w:rsidR="0016672B" w:rsidRPr="00542D3B" w:rsidRDefault="0016672B" w:rsidP="00542D3B">
      <w:pPr>
        <w:pStyle w:val="Listeafsnit"/>
        <w:numPr>
          <w:ilvl w:val="0"/>
          <w:numId w:val="1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I dag</w:t>
      </w:r>
      <w:r w:rsidR="00542D3B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  <w:r w:rsidR="00477611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Lånoptagelse på</w:t>
      </w:r>
      <w:r w:rsidR="001864E4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="00477611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ka</w:t>
      </w:r>
      <w:r w:rsidR="001864E4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p</w:t>
      </w:r>
      <w:r w:rsidR="00477611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italposte</w:t>
      </w:r>
      <w:r w:rsidR="00742FA9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r, </w:t>
      </w:r>
      <w:r w:rsidR="001864E4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passiver på kapitalbalance</w:t>
      </w:r>
    </w:p>
    <w:p w14:paraId="1F81562F" w14:textId="2E451C3B" w:rsidR="0016672B" w:rsidRPr="00542D3B" w:rsidRDefault="0016672B" w:rsidP="00542D3B">
      <w:pPr>
        <w:pStyle w:val="Listeafsnit"/>
        <w:numPr>
          <w:ilvl w:val="0"/>
          <w:numId w:val="1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Om 3 måneder</w:t>
      </w:r>
      <w:r w:rsidR="00542D3B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 A</w:t>
      </w:r>
      <w:r w:rsidR="00B32E80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fdrag og formindskelse</w:t>
      </w:r>
      <w:r w:rsidR="00542D3B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="00B32E80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af valutareserve på kapitalposter,</w:t>
      </w:r>
      <w:r w:rsidR="00061AE2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formindskelse af valutareserver på kapitalbalance</w:t>
      </w:r>
    </w:p>
    <w:p w14:paraId="2C58D661" w14:textId="77777777" w:rsidR="00542D3B" w:rsidRPr="00542D3B" w:rsidRDefault="00542D3B" w:rsidP="00542D3B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3FD41B45" w14:textId="644D99F6" w:rsidR="0016672B" w:rsidRPr="00542D3B" w:rsidRDefault="0016672B" w:rsidP="00542D3B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Et dansk rederi køber sig ind i en containerterminal</w:t>
      </w:r>
      <w:r w:rsidR="00542D3B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  <w:r w:rsidR="00542D3B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br/>
      </w:r>
      <w:r w:rsidR="00BC0147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Direkte investering i udland på kapitalposter, </w:t>
      </w:r>
      <w:r w:rsidR="00EF0EAF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formindskelse af valutareserver på</w:t>
      </w:r>
      <w:r w:rsidR="00992212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="00EF0EAF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kapitalposter</w:t>
      </w:r>
    </w:p>
    <w:p w14:paraId="672523FF" w14:textId="77777777" w:rsidR="00542D3B" w:rsidRPr="00542D3B" w:rsidRDefault="00542D3B" w:rsidP="00542D3B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472709DF" w14:textId="719484D5" w:rsidR="0016672B" w:rsidRPr="00542D3B" w:rsidRDefault="0016672B" w:rsidP="00542D3B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Nationalban</w:t>
      </w:r>
      <w:r w:rsidR="0060235E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ken tager et treårligt lån hos </w:t>
      </w:r>
      <w:r w:rsidR="00522BB6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ECB</w:t>
      </w:r>
      <w:r w:rsidR="00542D3B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  <w:r w:rsidR="00542D3B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br/>
        <w:t>F</w:t>
      </w:r>
      <w:r w:rsidR="0004570B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orøgelse af valutareserve på kapitalbalance, forøgelse af passiver på kapital</w:t>
      </w:r>
      <w:r w:rsidR="00491003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balance</w:t>
      </w:r>
    </w:p>
    <w:p w14:paraId="16E2E8E6" w14:textId="77777777" w:rsidR="00542D3B" w:rsidRPr="00542D3B" w:rsidRDefault="00542D3B" w:rsidP="00542D3B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3FB287C1" w14:textId="6D60BADB" w:rsidR="0016672B" w:rsidRPr="00542D3B" w:rsidRDefault="0016672B" w:rsidP="00542D3B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ATP køber for 100 mio. kr. amerikanske aktier</w:t>
      </w:r>
      <w:r w:rsidR="00542D3B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  <w:r w:rsidR="00542D3B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br/>
      </w:r>
      <w:r w:rsidR="00491003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Direkte investering i ulan på kapitalposter, formindskelse af valutareserver på kapital</w:t>
      </w:r>
      <w:r w:rsidR="001E28DD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balance.</w:t>
      </w:r>
    </w:p>
    <w:p w14:paraId="4149674D" w14:textId="77777777" w:rsidR="004C7170" w:rsidRPr="00542D3B" w:rsidRDefault="004C7170" w:rsidP="0049264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194A3F1C" w14:textId="77777777" w:rsidR="00EB3377" w:rsidRDefault="00EB3377" w:rsidP="00492647">
      <w:pPr>
        <w:spacing w:after="0"/>
        <w:rPr>
          <w:rFonts w:ascii="Times New Roman" w:hAnsi="Times New Roman" w:cs="Times New Roman"/>
          <w:b/>
          <w:sz w:val="20"/>
          <w:szCs w:val="20"/>
          <w:lang w:val="da-DK"/>
        </w:rPr>
      </w:pPr>
    </w:p>
    <w:p w14:paraId="3F0EC57D" w14:textId="77777777" w:rsidR="0016672B" w:rsidRPr="004C7170" w:rsidRDefault="0016672B" w:rsidP="00492647">
      <w:pPr>
        <w:spacing w:after="0"/>
        <w:rPr>
          <w:rFonts w:ascii="Times New Roman" w:hAnsi="Times New Roman" w:cs="Times New Roman"/>
          <w:sz w:val="20"/>
          <w:szCs w:val="20"/>
          <w:lang w:val="da-DK"/>
        </w:rPr>
      </w:pPr>
      <w:r w:rsidRPr="004C7170">
        <w:rPr>
          <w:rFonts w:ascii="Times New Roman" w:hAnsi="Times New Roman" w:cs="Times New Roman"/>
          <w:b/>
          <w:sz w:val="20"/>
          <w:szCs w:val="20"/>
          <w:lang w:val="da-DK"/>
        </w:rPr>
        <w:t>6.</w:t>
      </w:r>
      <w:r w:rsidR="00860133" w:rsidRPr="004C7170">
        <w:rPr>
          <w:rFonts w:ascii="Times New Roman" w:hAnsi="Times New Roman" w:cs="Times New Roman"/>
          <w:b/>
          <w:sz w:val="20"/>
          <w:szCs w:val="20"/>
          <w:lang w:val="da-DK"/>
        </w:rPr>
        <w:t>4</w:t>
      </w:r>
    </w:p>
    <w:p w14:paraId="55360157" w14:textId="1EDEBC70" w:rsidR="0016672B" w:rsidRPr="00EB3377" w:rsidRDefault="00E8245E" w:rsidP="00EB337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Hvilken udvikling i </w:t>
      </w:r>
      <w:r w:rsidR="00522BB6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samhandel</w:t>
      </w: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en</w:t>
      </w:r>
      <w:r w:rsidR="0016672B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er tallene udtryk for</w:t>
      </w:r>
      <w:r w:rsidR="00EB3377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  <w:r w:rsidR="00EB37C7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Stigningstakt i varehandel faldende </w:t>
      </w:r>
      <w:r w:rsidR="0003597A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undt. </w:t>
      </w:r>
      <w:r w:rsidR="00560917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b</w:t>
      </w:r>
      <w:r w:rsidR="0003597A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rændsel etc.</w:t>
      </w:r>
    </w:p>
    <w:p w14:paraId="46AE0BDE" w14:textId="77777777" w:rsidR="00EB3377" w:rsidRPr="00EB3377" w:rsidRDefault="00EB3377" w:rsidP="00EB337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13DE5A73" w14:textId="190BFBD7" w:rsidR="0016672B" w:rsidRPr="00EB3377" w:rsidRDefault="0016672B" w:rsidP="00EB337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Hvilke fakto</w:t>
      </w:r>
      <w:r w:rsidR="00521A99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r</w:t>
      </w: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er har henholdsvis fremmet og hæmmet denne udvikling</w:t>
      </w:r>
      <w:r w:rsidR="00EB3377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: </w:t>
      </w:r>
      <w:r w:rsidR="00847E4B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Fremmet af Indre Marked i EU og generelle</w:t>
      </w:r>
      <w:r w:rsidR="00516F43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="00847E4B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liberaliseringer, hæmmet af </w:t>
      </w:r>
      <w:r w:rsidR="00516F43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lavere vækst i udviklede økonomier</w:t>
      </w:r>
    </w:p>
    <w:p w14:paraId="1E0A1074" w14:textId="77777777" w:rsidR="00EB3377" w:rsidRPr="00EB3377" w:rsidRDefault="00EB3377" w:rsidP="00EB337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54409A35" w14:textId="0074D031" w:rsidR="0016672B" w:rsidRPr="00EB3377" w:rsidRDefault="00521A99" w:rsidP="00EB337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Hvilken rolle </w:t>
      </w:r>
      <w:r w:rsidR="00522BB6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har </w:t>
      </w: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WTO</w:t>
      </w:r>
      <w:r w:rsidR="00522BB6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/GATT spillet</w:t>
      </w:r>
      <w:r w:rsidR="00EB3377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: </w:t>
      </w:r>
      <w:r w:rsidR="00D342A1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Stigende liberalisering, Kinas medlemskab af WTO</w:t>
      </w:r>
      <w:r w:rsidR="002269F6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</w:t>
      </w:r>
    </w:p>
    <w:p w14:paraId="0325EC97" w14:textId="77777777" w:rsidR="00EB3377" w:rsidRPr="00EB3377" w:rsidRDefault="00EB3377" w:rsidP="00EB337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59AC6C9B" w14:textId="3C8D5F78" w:rsidR="00F47380" w:rsidRPr="00EB3377" w:rsidRDefault="00F47380" w:rsidP="00EB337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Forklar forskellen i udviklingen i verdenshandelen og </w:t>
      </w:r>
      <w:r w:rsidR="007F39D4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det global BNP</w:t>
      </w:r>
      <w:r w:rsidR="00EB3377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  <w:r w:rsidR="002269F6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="00975AC0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I mange år er verdenshandel steget mere end BNP pga. stigende globalisering</w:t>
      </w:r>
      <w:r w:rsidR="00562B7E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, udvikling vendt pga. aftagende globalisering/ stigende protektionisme </w:t>
      </w:r>
      <w:r w:rsidR="00563632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seneste år.</w:t>
      </w:r>
    </w:p>
    <w:p w14:paraId="5CF1240C" w14:textId="77777777" w:rsidR="004C7170" w:rsidRPr="00EB3377" w:rsidRDefault="004C7170" w:rsidP="0049264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60F2040B" w14:textId="77777777" w:rsidR="00EB3377" w:rsidRDefault="00EB3377" w:rsidP="00492647">
      <w:pPr>
        <w:spacing w:after="0"/>
        <w:rPr>
          <w:rFonts w:ascii="Times New Roman" w:hAnsi="Times New Roman" w:cs="Times New Roman"/>
          <w:b/>
          <w:sz w:val="20"/>
          <w:szCs w:val="20"/>
          <w:lang w:val="da-DK"/>
        </w:rPr>
      </w:pPr>
    </w:p>
    <w:p w14:paraId="4D68D871" w14:textId="77777777" w:rsidR="0016672B" w:rsidRPr="00D00956" w:rsidRDefault="00342200" w:rsidP="0049264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6.5</w:t>
      </w:r>
    </w:p>
    <w:p w14:paraId="5B8A0714" w14:textId="0FD11C26" w:rsidR="00342200" w:rsidRPr="00D00956" w:rsidRDefault="007D19A4" w:rsidP="00D0095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R</w:t>
      </w:r>
      <w:r w:rsidR="00342200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åvarepriser</w:t>
      </w:r>
      <w:r w:rsidR="00D0095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 U</w:t>
      </w:r>
      <w:r w:rsidR="00BE16C5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dland</w:t>
      </w:r>
      <w:r w:rsidR="00D0095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et (</w:t>
      </w:r>
      <w:r w:rsidR="00BE16C5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Danmark råvarefattigt med får undtagelser</w:t>
      </w:r>
      <w:r w:rsidR="00D0095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)</w:t>
      </w:r>
    </w:p>
    <w:p w14:paraId="593E68F9" w14:textId="50897CF0" w:rsidR="00342200" w:rsidRPr="00D00956" w:rsidRDefault="007D19A4" w:rsidP="00D0095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D</w:t>
      </w:r>
      <w:r w:rsidR="00342200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et danske renteniveau</w:t>
      </w:r>
      <w:r w:rsidR="00D0095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  <w:r w:rsidR="00BE16C5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Udlandet </w:t>
      </w:r>
      <w:r w:rsidR="00D0095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(</w:t>
      </w:r>
      <w:r w:rsidR="00BE16C5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pga. </w:t>
      </w:r>
      <w:r w:rsidR="00183A08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DKK tilknytning til </w:t>
      </w:r>
      <w:r w:rsidR="00D0095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euroen)</w:t>
      </w:r>
    </w:p>
    <w:p w14:paraId="4A4E0913" w14:textId="458ADA41" w:rsidR="00342200" w:rsidRPr="00D00956" w:rsidRDefault="007D19A4" w:rsidP="00D0095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L</w:t>
      </w:r>
      <w:r w:rsidR="00342200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ønniveauet</w:t>
      </w:r>
      <w:r w:rsidR="00D0095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  <w:r w:rsidR="00183A08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Lønfastsættelse styres</w:t>
      </w:r>
      <w:r w:rsidR="000639AE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i Danmark ved overenskomstforhandlinger</w:t>
      </w:r>
    </w:p>
    <w:p w14:paraId="2EBEF7F8" w14:textId="7AE3CBFF" w:rsidR="00342200" w:rsidRPr="00D00956" w:rsidRDefault="007D19A4" w:rsidP="00D0095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</w:t>
      </w:r>
      <w:r w:rsidR="00342200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fterspørgslen i udlandet</w:t>
      </w:r>
      <w:r w:rsidR="00D0095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  <w:r w:rsidR="000639AE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Styret i udland</w:t>
      </w:r>
    </w:p>
    <w:p w14:paraId="6F3BA54E" w14:textId="1CC171C3" w:rsidR="00342200" w:rsidRPr="00D00956" w:rsidRDefault="007D19A4" w:rsidP="00D0095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K</w:t>
      </w:r>
      <w:r w:rsidR="00342200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urs</w:t>
      </w: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en </w:t>
      </w:r>
      <w:r w:rsidR="002F08EE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på</w:t>
      </w: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den danske </w:t>
      </w:r>
      <w:r w:rsidR="00342200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krone</w:t>
      </w:r>
      <w:r w:rsidR="00D0095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  <w:r w:rsidR="000639AE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="00AA6612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Udland /ECB pga. tilknytning til </w:t>
      </w:r>
      <w:r w:rsidR="00D0095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euroen</w:t>
      </w:r>
    </w:p>
    <w:p w14:paraId="2A00B867" w14:textId="77777777" w:rsidR="004C7170" w:rsidRDefault="004C7170" w:rsidP="00492647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3F91F3C3" w14:textId="77777777" w:rsidR="00EB3377" w:rsidRPr="00D00956" w:rsidRDefault="00EB3377" w:rsidP="00492647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5E4194B9" w14:textId="77777777" w:rsidR="00342200" w:rsidRPr="00D00956" w:rsidRDefault="00342200" w:rsidP="00492647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lastRenderedPageBreak/>
        <w:t>6.6</w:t>
      </w:r>
    </w:p>
    <w:p w14:paraId="56178E8D" w14:textId="0580C244" w:rsidR="00DA3CE3" w:rsidRPr="00D00956" w:rsidRDefault="00F44848" w:rsidP="00492647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Saudi-Arabien</w:t>
      </w:r>
      <w:r w:rsidR="00D0095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 O</w:t>
      </w: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lie</w:t>
      </w:r>
      <w:r w:rsidR="002A51A0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pga. olieforekomst</w:t>
      </w:r>
      <w:r w:rsidR="00D0095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er</w:t>
      </w:r>
    </w:p>
    <w:p w14:paraId="35DE448D" w14:textId="235D4857" w:rsidR="00F44848" w:rsidRPr="00D00956" w:rsidRDefault="00083979" w:rsidP="00492647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Indonesien</w:t>
      </w:r>
      <w:r w:rsidR="00D0095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 P</w:t>
      </w:r>
      <w:r w:rsidR="00CB7748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almeolie </w:t>
      </w:r>
      <w:r w:rsidR="00592FED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pga. klima og lønniveau</w:t>
      </w:r>
    </w:p>
    <w:p w14:paraId="0228201D" w14:textId="6F4A03CD" w:rsidR="00CB7748" w:rsidRPr="00D00956" w:rsidRDefault="00BE2889" w:rsidP="00492647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Danmark</w:t>
      </w:r>
      <w:r w:rsidR="00D0095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 V</w:t>
      </w: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indmøller (Vestas) pga. opbygget ekspertise</w:t>
      </w:r>
      <w:r w:rsidR="00C8465B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</w:p>
    <w:p w14:paraId="3A6D3596" w14:textId="77777777" w:rsidR="00083979" w:rsidRPr="00D00956" w:rsidRDefault="00083979" w:rsidP="00492647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5A8C88EC" w14:textId="77777777" w:rsidR="00342200" w:rsidRPr="00D00956" w:rsidRDefault="00342200" w:rsidP="00492647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5C6DA09F" w14:textId="77777777" w:rsidR="00342200" w:rsidRPr="00D00956" w:rsidRDefault="00342200" w:rsidP="0049264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6.7</w:t>
      </w:r>
    </w:p>
    <w:p w14:paraId="410E8FDC" w14:textId="79214A46" w:rsidR="00C8465B" w:rsidRPr="00D00956" w:rsidRDefault="00E07B04" w:rsidP="004926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Eksempel: </w:t>
      </w:r>
      <w:r w:rsidR="00D0095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H</w:t>
      </w:r>
      <w:r w:rsidR="0063352B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vis</w:t>
      </w: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løn er relativt meget højt i et land/område vil</w:t>
      </w:r>
      <w:r w:rsidR="0063352B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efterspørgsel flytte til andet land/ område. Her vil den forøgede efterspørgsel presse løn op.</w:t>
      </w:r>
    </w:p>
    <w:p w14:paraId="26E66D3B" w14:textId="79560D01" w:rsidR="0063352B" w:rsidRPr="00D00956" w:rsidRDefault="0063352B" w:rsidP="004926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Tilsvarende </w:t>
      </w:r>
      <w:r w:rsidR="00DA6EF7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udvikling på varer og kapital</w:t>
      </w:r>
    </w:p>
    <w:p w14:paraId="78AF0B4D" w14:textId="77777777" w:rsidR="004C7170" w:rsidRDefault="004C7170" w:rsidP="004926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5D41618B" w14:textId="77777777" w:rsidR="00EB3377" w:rsidRPr="00D00956" w:rsidRDefault="00EB3377" w:rsidP="004926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4C3D28C3" w14:textId="77777777" w:rsidR="00342200" w:rsidRPr="00D00956" w:rsidRDefault="00342200" w:rsidP="00492647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6.8</w:t>
      </w:r>
    </w:p>
    <w:p w14:paraId="66CEE255" w14:textId="7E6D510F" w:rsidR="009A43E5" w:rsidRPr="00D00956" w:rsidRDefault="009A43E5" w:rsidP="00492647">
      <w:pPr>
        <w:tabs>
          <w:tab w:val="left" w:pos="-1440"/>
        </w:tabs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Selvom gevinster er </w:t>
      </w:r>
      <w:r w:rsidR="00E4509D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evidente,</w:t>
      </w:r>
      <w:r w:rsidR="009E685B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er d</w:t>
      </w:r>
      <w:r w:rsidR="001C6570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</w:t>
      </w:r>
      <w:r w:rsidR="009E685B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r ikke tilsvare</w:t>
      </w:r>
      <w:r w:rsidR="00D3128E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n</w:t>
      </w:r>
      <w:r w:rsidR="009E685B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de ”folkelig” forståelse, </w:t>
      </w:r>
      <w:r w:rsidR="001C6570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d</w:t>
      </w:r>
      <w:r w:rsidR="009E685B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et skaber rum for populistisk agitation </w:t>
      </w:r>
      <w:r w:rsidR="00C65AEA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som Trump og andre </w:t>
      </w:r>
      <w:r w:rsidR="001C6570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udnytter.</w:t>
      </w:r>
      <w:r w:rsidR="00D3128E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Manglende forståelse da </w:t>
      </w:r>
      <w:r w:rsidR="00AB5B69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vælgere ser på omstrukturering i økonomier med æng</w:t>
      </w:r>
      <w:r w:rsid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</w:t>
      </w:r>
      <w:r w:rsidR="00AB5B69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telse og ikke fokuserer på de lavere priser</w:t>
      </w:r>
      <w:r w:rsidR="00E52199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og det større udbud/ større </w:t>
      </w:r>
      <w:r w:rsidR="00D2134D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va</w:t>
      </w:r>
      <w:r w:rsidR="00E52199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riation i udbud</w:t>
      </w:r>
      <w:r w:rsidR="00D0095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,</w:t>
      </w:r>
      <w:r w:rsidR="00E52199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som frihandel giver.</w:t>
      </w:r>
    </w:p>
    <w:p w14:paraId="6E51788A" w14:textId="77777777" w:rsidR="004C7170" w:rsidRDefault="004C7170" w:rsidP="00492647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30480C4E" w14:textId="77777777" w:rsidR="00EB3377" w:rsidRPr="00D00956" w:rsidRDefault="00EB3377" w:rsidP="00492647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1CD0B6AE" w14:textId="77777777" w:rsidR="00342200" w:rsidRPr="00D00956" w:rsidRDefault="00342200" w:rsidP="00492647">
      <w:pPr>
        <w:tabs>
          <w:tab w:val="left" w:pos="-144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6.9</w:t>
      </w:r>
    </w:p>
    <w:p w14:paraId="4E1441D8" w14:textId="178398AF" w:rsidR="00D2134D" w:rsidRPr="00D00956" w:rsidRDefault="00D2134D" w:rsidP="004926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Falsk.</w:t>
      </w:r>
      <w:r w:rsidR="006814AE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Når et land er forsynet med rigdom i form af diamanter</w:t>
      </w:r>
      <w:r w:rsidR="00544EC0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/champagne</w:t>
      </w:r>
      <w:r w:rsidR="006814AE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bør d</w:t>
      </w:r>
      <w:r w:rsidR="00544EC0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isse varer</w:t>
      </w:r>
      <w:r w:rsidR="006814AE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sælges</w:t>
      </w:r>
      <w:r w:rsidR="00DE2493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, og pr</w:t>
      </w:r>
      <w:r w:rsid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o</w:t>
      </w:r>
      <w:r w:rsidR="00DE2493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venu bruges til indkøb af fødevarer.</w:t>
      </w:r>
    </w:p>
    <w:p w14:paraId="570CDB02" w14:textId="77777777" w:rsidR="00EB3377" w:rsidRDefault="00EB3377" w:rsidP="004926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0DFCDFF8" w14:textId="0A651606" w:rsidR="00342200" w:rsidRPr="00D00956" w:rsidRDefault="00342200" w:rsidP="004926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ab/>
      </w:r>
    </w:p>
    <w:p w14:paraId="3928EDC2" w14:textId="77777777" w:rsidR="008C2C88" w:rsidRPr="00D00956" w:rsidRDefault="008C2C88" w:rsidP="0049264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6.10</w:t>
      </w:r>
    </w:p>
    <w:p w14:paraId="086B3935" w14:textId="66E8BD01" w:rsidR="00DE2493" w:rsidRPr="00D00956" w:rsidRDefault="00DE2493" w:rsidP="004926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Barrierer i form af kultur, sprog, religion og tilknytning til familie og venner i </w:t>
      </w:r>
      <w:r w:rsidR="00E759D3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fædreland eller fødselsregion.</w:t>
      </w:r>
    </w:p>
    <w:p w14:paraId="4356CF96" w14:textId="77777777" w:rsidR="001B3427" w:rsidRDefault="001B3427" w:rsidP="004926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233AD14B" w14:textId="77777777" w:rsidR="00EB3377" w:rsidRPr="00D00956" w:rsidRDefault="00EB3377" w:rsidP="004926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1C0F7644" w14:textId="77777777" w:rsidR="005739F7" w:rsidRPr="00D00956" w:rsidRDefault="005739F7" w:rsidP="0049264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6.11</w:t>
      </w:r>
    </w:p>
    <w:p w14:paraId="56E554B5" w14:textId="2E852BB8" w:rsidR="005739F7" w:rsidRPr="00D00956" w:rsidRDefault="005739F7" w:rsidP="00D0095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Lovgivningsmæssigt</w:t>
      </w:r>
      <w:r w:rsidR="00D0095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 F</w:t>
      </w:r>
      <w:r w:rsidR="009F7269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orskellige standarder</w:t>
      </w:r>
      <w:r w:rsid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="00B437DB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og etableringsreger, forskellig</w:t>
      </w:r>
      <w:r w:rsidR="00CD14C9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</w:t>
      </w:r>
      <w:r w:rsidR="00B437DB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patentlove</w:t>
      </w:r>
      <w:r w:rsidR="00CD14C9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m.m.</w:t>
      </w:r>
    </w:p>
    <w:p w14:paraId="36EF7D98" w14:textId="169B8081" w:rsidR="005739F7" w:rsidRPr="00D00956" w:rsidRDefault="005739F7" w:rsidP="00D0095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Samfundsøkonomisk</w:t>
      </w:r>
      <w:r w:rsidR="00D0095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  <w:r w:rsidR="00BB3591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="009F7269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Skatter, afskrivningsregler</w:t>
      </w:r>
    </w:p>
    <w:p w14:paraId="1CB201E5" w14:textId="7D4550A4" w:rsidR="005739F7" w:rsidRPr="00D00956" w:rsidRDefault="005739F7" w:rsidP="00D0095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Virksomhedsøkonomisk</w:t>
      </w:r>
      <w:r w:rsidR="00D0095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 V</w:t>
      </w:r>
      <w:r w:rsidR="008B476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irksomheders kendskab internationalt ofte begrænset</w:t>
      </w:r>
    </w:p>
    <w:p w14:paraId="73FF6137" w14:textId="06296DFE" w:rsidR="005739F7" w:rsidRPr="00D00956" w:rsidRDefault="005739F7" w:rsidP="00D0095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Psykologisk</w:t>
      </w:r>
      <w:r w:rsidR="00D0095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 K</w:t>
      </w:r>
      <w:r w:rsidR="00A019B0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ultur, sprog, religion og tilknytning</w:t>
      </w:r>
    </w:p>
    <w:p w14:paraId="2B263A26" w14:textId="77777777" w:rsidR="004C7170" w:rsidRDefault="004C7170" w:rsidP="00492647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b/>
          <w:sz w:val="20"/>
          <w:szCs w:val="20"/>
          <w:lang w:val="da-DK"/>
        </w:rPr>
      </w:pPr>
    </w:p>
    <w:p w14:paraId="227BDD80" w14:textId="77777777" w:rsidR="00EB3377" w:rsidRDefault="00EB3377" w:rsidP="00492647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b/>
          <w:sz w:val="20"/>
          <w:szCs w:val="20"/>
          <w:lang w:val="da-DK"/>
        </w:rPr>
      </w:pPr>
    </w:p>
    <w:p w14:paraId="374F9642" w14:textId="20D8248A" w:rsidR="005A0834" w:rsidRDefault="00B65BBE" w:rsidP="00492647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b/>
          <w:sz w:val="20"/>
          <w:szCs w:val="20"/>
          <w:lang w:val="da-DK"/>
        </w:rPr>
      </w:pPr>
      <w:r>
        <w:rPr>
          <w:rFonts w:ascii="Times New Roman" w:hAnsi="Times New Roman" w:cs="Times New Roman"/>
          <w:b/>
          <w:sz w:val="20"/>
          <w:szCs w:val="20"/>
          <w:lang w:val="da-DK"/>
        </w:rPr>
        <w:t>6.12</w:t>
      </w:r>
    </w:p>
    <w:p w14:paraId="1EFE826C" w14:textId="3FAAF1A2" w:rsidR="00475D5A" w:rsidRPr="00EB3377" w:rsidRDefault="00441C77" w:rsidP="00915070">
      <w:pPr>
        <w:pStyle w:val="Listeafsnit"/>
        <w:numPr>
          <w:ilvl w:val="0"/>
          <w:numId w:val="12"/>
        </w:numPr>
        <w:tabs>
          <w:tab w:val="left" w:pos="-1440"/>
        </w:tabs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Merkantilister havde ikke indset, at </w:t>
      </w:r>
      <w:r w:rsidR="00C333B3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man kunne få et større,</w:t>
      </w:r>
      <w:r w:rsidR="00E670F2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="00C333B3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mere varieret og billigere udbud ved at etabler</w:t>
      </w:r>
      <w:r w:rsidR="00E670F2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 internationalarbejdsdeling.</w:t>
      </w:r>
    </w:p>
    <w:p w14:paraId="252F8F6C" w14:textId="76627504" w:rsidR="00AB0960" w:rsidRPr="00EB3377" w:rsidRDefault="001A4446" w:rsidP="00915070">
      <w:pPr>
        <w:pStyle w:val="Listeafsnit"/>
        <w:numPr>
          <w:ilvl w:val="0"/>
          <w:numId w:val="12"/>
        </w:numPr>
        <w:tabs>
          <w:tab w:val="left" w:pos="-1440"/>
        </w:tabs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Absolut</w:t>
      </w:r>
      <w:r w:rsidR="00E53F69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når</w:t>
      </w:r>
      <w:r w:rsidR="00E53F69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det ene land er bedst til klæde</w:t>
      </w:r>
      <w:r w:rsidR="00E53F69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og det andet til portvin</w:t>
      </w:r>
      <w:r w:rsidR="00E53F69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 Komparativt når det ene land er bedst til begge produkter,</w:t>
      </w:r>
      <w:r w:rsidR="00D00956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="00E53F69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men det </w:t>
      </w:r>
      <w:r w:rsidR="00F8236F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”</w:t>
      </w:r>
      <w:r w:rsidR="00D00956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l</w:t>
      </w:r>
      <w:r w:rsidR="00F8236F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aveste” land er mindst svagt til det ene produkt.</w:t>
      </w:r>
    </w:p>
    <w:p w14:paraId="3991064E" w14:textId="4ED0C8B3" w:rsidR="00C32EED" w:rsidRPr="00EB3377" w:rsidRDefault="00EB3377" w:rsidP="00EB3377">
      <w:pPr>
        <w:pStyle w:val="Listeafsnit"/>
        <w:numPr>
          <w:ilvl w:val="0"/>
          <w:numId w:val="12"/>
        </w:numPr>
        <w:tabs>
          <w:tab w:val="left" w:pos="-1440"/>
        </w:tabs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Selv om gevinster er evidente, er der ikke tilsvarende ”folkelig” forståelse, det skaber rum for populistisk agitation som Trump og andre udnytter. Manglende forståelse da vælgere ser på omstrukturering i økonomier med ængstelse og ikke fokuserer på de lavere priser og det større udbud/ større variation i udbud, som frihandel giver.</w:t>
      </w:r>
    </w:p>
    <w:p w14:paraId="28091058" w14:textId="77777777" w:rsidR="00B65BBE" w:rsidRDefault="00B65BBE" w:rsidP="00492647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04ED3445" w14:textId="77777777" w:rsidR="00EB3377" w:rsidRPr="00EB3377" w:rsidRDefault="00EB3377" w:rsidP="00492647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6BDA110B" w14:textId="67DD63E6" w:rsidR="005A0834" w:rsidRDefault="00857793" w:rsidP="00492647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b/>
          <w:sz w:val="20"/>
          <w:szCs w:val="20"/>
          <w:lang w:val="da-DK"/>
        </w:rPr>
      </w:pPr>
      <w:r>
        <w:rPr>
          <w:rFonts w:ascii="Times New Roman" w:hAnsi="Times New Roman" w:cs="Times New Roman"/>
          <w:b/>
          <w:sz w:val="20"/>
          <w:szCs w:val="20"/>
          <w:lang w:val="da-DK"/>
        </w:rPr>
        <w:t>6.13</w:t>
      </w:r>
    </w:p>
    <w:p w14:paraId="4E5D56C6" w14:textId="5A405237" w:rsidR="00974305" w:rsidRPr="00D00956" w:rsidRDefault="00974305" w:rsidP="00542D3B">
      <w:pPr>
        <w:tabs>
          <w:tab w:val="left" w:pos="-1440"/>
        </w:tabs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F</w:t>
      </w:r>
      <w:r w:rsidR="00D0095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igur 1:</w:t>
      </w:r>
      <w:r w:rsidR="00676AED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="002449A4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Det globale BNP steget eksplosivt især sidste </w:t>
      </w:r>
      <w:r w:rsidR="008755C2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200 år, da befolkning (POP) også er vokset er BNP/cap vokset</w:t>
      </w:r>
      <w:r w:rsidR="005C01D2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, </w:t>
      </w:r>
      <w:r w:rsidR="00D0095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m</w:t>
      </w:r>
      <w:r w:rsidR="005C01D2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en relativt mindre</w:t>
      </w:r>
    </w:p>
    <w:p w14:paraId="2AA03C13" w14:textId="266A0231" w:rsidR="00974305" w:rsidRPr="00D00956" w:rsidRDefault="00974305" w:rsidP="00542D3B">
      <w:pPr>
        <w:tabs>
          <w:tab w:val="left" w:pos="-1440"/>
        </w:tabs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F</w:t>
      </w:r>
      <w:r w:rsidR="00D00956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igur 2</w:t>
      </w:r>
      <w:r w:rsidR="00883E2F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="004470D7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Gennemsnitindkomsten steget til trods for stigende befolkning. </w:t>
      </w:r>
      <w:r w:rsidR="00C52A9E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Teknologi, p</w:t>
      </w:r>
      <w:r w:rsidR="004470D7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roduktivitet</w:t>
      </w:r>
      <w:r w:rsidR="004E3982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sstigninger, arbejdsdeling nationalt og internationalt</w:t>
      </w:r>
      <w:r w:rsidR="000A5111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, specialisering, </w:t>
      </w:r>
      <w:r w:rsidR="009E0192" w:rsidRPr="00D00956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markedets størrelse og stigende skalaafkast er forklaring herpå.</w:t>
      </w:r>
    </w:p>
    <w:p w14:paraId="09F6C163" w14:textId="77777777" w:rsidR="00EC7F64" w:rsidRPr="00D00956" w:rsidRDefault="00EC7F64" w:rsidP="00542D3B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709EF872" w14:textId="77777777" w:rsidR="00D00956" w:rsidRPr="00EB3377" w:rsidRDefault="00D00956" w:rsidP="00542D3B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27416F92" w14:textId="4AA32B19" w:rsidR="00342200" w:rsidRPr="00EB3377" w:rsidRDefault="005739F7" w:rsidP="00542D3B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EB3377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6.1</w:t>
      </w:r>
      <w:r w:rsidR="000A1D99" w:rsidRPr="00EB3377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4</w:t>
      </w:r>
    </w:p>
    <w:p w14:paraId="539AA708" w14:textId="36335E3E" w:rsidR="00342200" w:rsidRPr="00EB3377" w:rsidRDefault="00EB3377" w:rsidP="00542D3B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1. </w:t>
      </w:r>
      <w:r w:rsidR="00C53BF0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Land </w:t>
      </w:r>
      <w:r w:rsidR="00C53C53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B</w:t>
      </w:r>
      <w:r w:rsidR="00C53BF0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="00C53C53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har komparativ fordel</w:t>
      </w:r>
      <w:r w:rsidR="00C53BF0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i </w:t>
      </w:r>
      <w:r w:rsidR="0055278F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ris</w:t>
      </w:r>
      <w:r w:rsidR="00C53BF0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, </w:t>
      </w:r>
      <w:r w:rsid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land </w:t>
      </w:r>
      <w:r w:rsidR="00C53BF0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A i </w:t>
      </w:r>
      <w:r w:rsidR="0055278F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sko</w:t>
      </w:r>
    </w:p>
    <w:p w14:paraId="1BBB6ECF" w14:textId="77777777" w:rsidR="00EB3377" w:rsidRPr="00EB3377" w:rsidRDefault="00EB3377" w:rsidP="004926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53E56657" w14:textId="7368792F" w:rsidR="00342200" w:rsidRPr="00EB3377" w:rsidRDefault="00EB3377" w:rsidP="004926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2.-3.: 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1725"/>
        <w:gridCol w:w="1861"/>
        <w:gridCol w:w="1935"/>
        <w:gridCol w:w="1870"/>
        <w:gridCol w:w="2129"/>
      </w:tblGrid>
      <w:tr w:rsidR="00EB3377" w:rsidRPr="00EB3377" w14:paraId="7740A33B" w14:textId="77777777" w:rsidTr="00116D16">
        <w:tc>
          <w:tcPr>
            <w:tcW w:w="1847" w:type="dxa"/>
          </w:tcPr>
          <w:p w14:paraId="2293F199" w14:textId="77777777" w:rsidR="002B28B6" w:rsidRPr="00EB3377" w:rsidRDefault="002B28B6" w:rsidP="004926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</w:p>
        </w:tc>
        <w:tc>
          <w:tcPr>
            <w:tcW w:w="3911" w:type="dxa"/>
            <w:gridSpan w:val="2"/>
          </w:tcPr>
          <w:p w14:paraId="20A833D4" w14:textId="6B651CE3" w:rsidR="002B28B6" w:rsidRPr="00EB3377" w:rsidRDefault="00492647" w:rsidP="004926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Produktion</w:t>
            </w:r>
            <w:proofErr w:type="spellEnd"/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B28B6"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FØR </w:t>
            </w:r>
            <w:proofErr w:type="spellStart"/>
            <w:r w:rsidR="002B28B6"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handel</w:t>
            </w:r>
            <w:proofErr w:type="spellEnd"/>
            <w:r w:rsidR="002B28B6"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B28B6"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åbnes</w:t>
            </w:r>
            <w:proofErr w:type="spellEnd"/>
          </w:p>
        </w:tc>
        <w:tc>
          <w:tcPr>
            <w:tcW w:w="3912" w:type="dxa"/>
            <w:gridSpan w:val="2"/>
          </w:tcPr>
          <w:p w14:paraId="6FD91D29" w14:textId="21121792" w:rsidR="002B28B6" w:rsidRPr="00EB3377" w:rsidRDefault="00492647" w:rsidP="004926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Produktion</w:t>
            </w:r>
            <w:proofErr w:type="spellEnd"/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B28B6"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EFTER</w:t>
            </w:r>
            <w:r w:rsidR="005739F7"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739F7"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handel</w:t>
            </w:r>
            <w:proofErr w:type="spellEnd"/>
            <w:r w:rsidR="005739F7"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739F7"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åbnes</w:t>
            </w:r>
            <w:proofErr w:type="spellEnd"/>
          </w:p>
        </w:tc>
      </w:tr>
      <w:tr w:rsidR="00EB3377" w:rsidRPr="00EB3377" w14:paraId="1E41DF7A" w14:textId="77777777" w:rsidTr="00116D16">
        <w:tc>
          <w:tcPr>
            <w:tcW w:w="1847" w:type="dxa"/>
          </w:tcPr>
          <w:p w14:paraId="05C2F9A9" w14:textId="77777777" w:rsidR="002B28B6" w:rsidRPr="00EB3377" w:rsidRDefault="002B28B6" w:rsidP="004926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14:paraId="23F0792D" w14:textId="77777777" w:rsidR="002B28B6" w:rsidRPr="00EB3377" w:rsidRDefault="002B28B6" w:rsidP="004926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Ris</w:t>
            </w:r>
            <w:proofErr w:type="spellEnd"/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antal</w:t>
            </w:r>
            <w:proofErr w:type="spellEnd"/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kg.</w:t>
            </w:r>
          </w:p>
        </w:tc>
        <w:tc>
          <w:tcPr>
            <w:tcW w:w="1956" w:type="dxa"/>
          </w:tcPr>
          <w:p w14:paraId="5B657057" w14:textId="382902B1" w:rsidR="002B28B6" w:rsidRPr="00EB3377" w:rsidRDefault="00492647" w:rsidP="004926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Sko</w:t>
            </w:r>
            <w:proofErr w:type="spellEnd"/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antal</w:t>
            </w:r>
            <w:proofErr w:type="spellEnd"/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par</w:t>
            </w:r>
          </w:p>
        </w:tc>
        <w:tc>
          <w:tcPr>
            <w:tcW w:w="1956" w:type="dxa"/>
          </w:tcPr>
          <w:p w14:paraId="5D938DE6" w14:textId="77777777" w:rsidR="002B28B6" w:rsidRPr="00EB3377" w:rsidRDefault="002B28B6" w:rsidP="004926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Ris</w:t>
            </w:r>
            <w:proofErr w:type="spellEnd"/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antal</w:t>
            </w:r>
            <w:proofErr w:type="spellEnd"/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kg.</w:t>
            </w:r>
          </w:p>
        </w:tc>
        <w:tc>
          <w:tcPr>
            <w:tcW w:w="1956" w:type="dxa"/>
          </w:tcPr>
          <w:p w14:paraId="00B797A9" w14:textId="2AD450AB" w:rsidR="002B28B6" w:rsidRPr="00EB3377" w:rsidRDefault="00492647" w:rsidP="004926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Sko</w:t>
            </w:r>
            <w:proofErr w:type="spellEnd"/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antal</w:t>
            </w:r>
            <w:proofErr w:type="spellEnd"/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par</w:t>
            </w:r>
          </w:p>
        </w:tc>
      </w:tr>
      <w:tr w:rsidR="00EB3377" w:rsidRPr="00EB3377" w14:paraId="0D218D53" w14:textId="77777777" w:rsidTr="00116D16">
        <w:tc>
          <w:tcPr>
            <w:tcW w:w="1847" w:type="dxa"/>
          </w:tcPr>
          <w:p w14:paraId="6026FDD2" w14:textId="77777777" w:rsidR="002B28B6" w:rsidRPr="00EB3377" w:rsidRDefault="002B28B6" w:rsidP="004926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Land A</w:t>
            </w:r>
          </w:p>
        </w:tc>
        <w:tc>
          <w:tcPr>
            <w:tcW w:w="1955" w:type="dxa"/>
          </w:tcPr>
          <w:p w14:paraId="52E456F7" w14:textId="230B502A" w:rsidR="002B28B6" w:rsidRPr="00EB3377" w:rsidRDefault="009149D1" w:rsidP="004926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500x10=</w:t>
            </w:r>
            <w:r w:rsidR="00F16BCC"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5.000</w:t>
            </w:r>
          </w:p>
        </w:tc>
        <w:tc>
          <w:tcPr>
            <w:tcW w:w="1956" w:type="dxa"/>
          </w:tcPr>
          <w:p w14:paraId="1CE912A8" w14:textId="11A406FF" w:rsidR="002B28B6" w:rsidRPr="00EB3377" w:rsidRDefault="00F16BCC" w:rsidP="004926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4A7022"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x1.000=500.000</w:t>
            </w:r>
          </w:p>
        </w:tc>
        <w:tc>
          <w:tcPr>
            <w:tcW w:w="1956" w:type="dxa"/>
          </w:tcPr>
          <w:p w14:paraId="347D711A" w14:textId="482A2212" w:rsidR="002B28B6" w:rsidRPr="00EB3377" w:rsidRDefault="002B28B6" w:rsidP="004926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14:paraId="4B68C384" w14:textId="0EF61648" w:rsidR="002B28B6" w:rsidRPr="00EB3377" w:rsidRDefault="00286FE1" w:rsidP="004926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1.000x1.000=1.000.000</w:t>
            </w:r>
          </w:p>
        </w:tc>
      </w:tr>
      <w:tr w:rsidR="00EB3377" w:rsidRPr="00EB3377" w14:paraId="44764252" w14:textId="77777777" w:rsidTr="00116D16">
        <w:tc>
          <w:tcPr>
            <w:tcW w:w="1847" w:type="dxa"/>
          </w:tcPr>
          <w:p w14:paraId="5B3771FB" w14:textId="77777777" w:rsidR="002B28B6" w:rsidRPr="00EB3377" w:rsidRDefault="002B28B6" w:rsidP="004926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Land B</w:t>
            </w:r>
          </w:p>
        </w:tc>
        <w:tc>
          <w:tcPr>
            <w:tcW w:w="1955" w:type="dxa"/>
          </w:tcPr>
          <w:p w14:paraId="791C994D" w14:textId="63B96310" w:rsidR="002B28B6" w:rsidRPr="00EB3377" w:rsidRDefault="00F16BCC" w:rsidP="004926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500x15=7.500</w:t>
            </w:r>
          </w:p>
        </w:tc>
        <w:tc>
          <w:tcPr>
            <w:tcW w:w="1956" w:type="dxa"/>
          </w:tcPr>
          <w:p w14:paraId="5932071F" w14:textId="27D81EF7" w:rsidR="002B28B6" w:rsidRPr="00EB3377" w:rsidRDefault="005375F8" w:rsidP="004926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500x1.200=600.000</w:t>
            </w:r>
          </w:p>
        </w:tc>
        <w:tc>
          <w:tcPr>
            <w:tcW w:w="1956" w:type="dxa"/>
          </w:tcPr>
          <w:p w14:paraId="6F481CAE" w14:textId="35910ADD" w:rsidR="002B28B6" w:rsidRPr="00EB3377" w:rsidRDefault="00286FE1" w:rsidP="004926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833x15=12500</w:t>
            </w:r>
          </w:p>
        </w:tc>
        <w:tc>
          <w:tcPr>
            <w:tcW w:w="1956" w:type="dxa"/>
          </w:tcPr>
          <w:p w14:paraId="3C81390B" w14:textId="714A6E96" w:rsidR="002B28B6" w:rsidRPr="00EB3377" w:rsidRDefault="00286FE1" w:rsidP="004926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167x1200=200.400</w:t>
            </w:r>
          </w:p>
        </w:tc>
      </w:tr>
      <w:tr w:rsidR="002B28B6" w:rsidRPr="00EB3377" w14:paraId="6C140CD1" w14:textId="77777777" w:rsidTr="00116D16">
        <w:tc>
          <w:tcPr>
            <w:tcW w:w="1847" w:type="dxa"/>
          </w:tcPr>
          <w:p w14:paraId="07DB3024" w14:textId="484178FA" w:rsidR="002B28B6" w:rsidRPr="00EB3377" w:rsidRDefault="00492647" w:rsidP="004926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Samlet</w:t>
            </w:r>
            <w:proofErr w:type="spellEnd"/>
            <w:r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1AF6"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</w:t>
            </w:r>
            <w:r w:rsidR="00C0239D"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="00ED1AF6" w:rsidRPr="00EB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tion</w:t>
            </w:r>
            <w:proofErr w:type="spellEnd"/>
          </w:p>
        </w:tc>
        <w:tc>
          <w:tcPr>
            <w:tcW w:w="1955" w:type="dxa"/>
          </w:tcPr>
          <w:p w14:paraId="7ED27B37" w14:textId="418ABB75" w:rsidR="002B28B6" w:rsidRPr="00EB3377" w:rsidRDefault="00463791" w:rsidP="0049264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337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12.500</w:t>
            </w:r>
          </w:p>
        </w:tc>
        <w:tc>
          <w:tcPr>
            <w:tcW w:w="1956" w:type="dxa"/>
          </w:tcPr>
          <w:p w14:paraId="6BCDD847" w14:textId="1274DE17" w:rsidR="002B28B6" w:rsidRPr="00EB3377" w:rsidRDefault="00463791" w:rsidP="0049264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337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1.100.000</w:t>
            </w:r>
          </w:p>
        </w:tc>
        <w:tc>
          <w:tcPr>
            <w:tcW w:w="1956" w:type="dxa"/>
          </w:tcPr>
          <w:p w14:paraId="52EEF9D4" w14:textId="47F1BB01" w:rsidR="002B28B6" w:rsidRPr="00EB3377" w:rsidRDefault="00286FE1" w:rsidP="0049264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337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12.500</w:t>
            </w:r>
          </w:p>
        </w:tc>
        <w:tc>
          <w:tcPr>
            <w:tcW w:w="1956" w:type="dxa"/>
          </w:tcPr>
          <w:p w14:paraId="34F3125B" w14:textId="221F1880" w:rsidR="002B28B6" w:rsidRPr="00EB3377" w:rsidRDefault="00286FE1" w:rsidP="0049264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337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1.200.400</w:t>
            </w:r>
          </w:p>
        </w:tc>
      </w:tr>
    </w:tbl>
    <w:p w14:paraId="583C8D02" w14:textId="7DA23D99" w:rsidR="002B28B6" w:rsidRPr="00EB3377" w:rsidRDefault="002B28B6" w:rsidP="004926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69BC6B1" w14:textId="143A5F0C" w:rsidR="00C0239D" w:rsidRPr="00542D3B" w:rsidRDefault="00C0239D" w:rsidP="004926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Specialiseringen er en fordel, det samme</w:t>
      </w:r>
      <w:r w:rsidR="00286FE1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kvantum ris</w:t>
      </w: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produceres, men </w:t>
      </w:r>
      <w:r w:rsidR="00286FE1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skoproduktionen</w:t>
      </w:r>
      <w:r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stiger</w:t>
      </w:r>
      <w:r w:rsidR="00286FE1" w:rsidRPr="00EB337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fra 1.100.000 til </w:t>
      </w:r>
      <w:r w:rsidR="00286FE1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1.200.400</w:t>
      </w:r>
      <w:r w:rsidR="00EB3377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</w:t>
      </w:r>
    </w:p>
    <w:p w14:paraId="09FDEAB3" w14:textId="77777777" w:rsidR="00EB3377" w:rsidRPr="00542D3B" w:rsidRDefault="00EB3377" w:rsidP="004926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4CC60F84" w14:textId="77777777" w:rsidR="00EB3377" w:rsidRPr="00542D3B" w:rsidRDefault="00EB3377" w:rsidP="004926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5C707FAB" w14:textId="5F71B17A" w:rsidR="003F657E" w:rsidRPr="00542D3B" w:rsidRDefault="003F657E" w:rsidP="00492647">
      <w:pPr>
        <w:spacing w:after="0"/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val="da-DK" w:eastAsia="da-DK"/>
        </w:rPr>
      </w:pPr>
      <w:r w:rsidRPr="00542D3B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val="da-DK" w:eastAsia="da-DK"/>
        </w:rPr>
        <w:t>6.1</w:t>
      </w:r>
      <w:r w:rsidR="000A1D99" w:rsidRPr="00542D3B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val="da-DK" w:eastAsia="da-DK"/>
        </w:rPr>
        <w:t>5</w:t>
      </w:r>
    </w:p>
    <w:p w14:paraId="02242ED9" w14:textId="0D3EBF9B" w:rsidR="00450CF4" w:rsidRPr="00542D3B" w:rsidRDefault="00503BC0" w:rsidP="00450CF4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Tal </w:t>
      </w:r>
      <w:r w:rsidR="00992212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kan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aflæses</w:t>
      </w:r>
      <w:r w:rsidR="00992212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af figur og tabel</w:t>
      </w:r>
    </w:p>
    <w:p w14:paraId="19076BFA" w14:textId="10184BD6" w:rsidR="00EB3377" w:rsidRDefault="00EB3377" w:rsidP="00542D3B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0F21FF93" w14:textId="77777777" w:rsidR="00992212" w:rsidRPr="00542D3B" w:rsidRDefault="00992212" w:rsidP="00542D3B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2D672F7C" w14:textId="4781F956" w:rsidR="00CC2837" w:rsidRPr="00542D3B" w:rsidRDefault="00CC2837" w:rsidP="00542D3B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542D3B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6.1</w:t>
      </w:r>
      <w:r w:rsidR="003274FE" w:rsidRPr="00542D3B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6</w:t>
      </w:r>
    </w:p>
    <w:p w14:paraId="2A08EBC8" w14:textId="77777777" w:rsidR="00542D3B" w:rsidRPr="00542D3B" w:rsidRDefault="006D2F61" w:rsidP="00542D3B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H</w:t>
      </w:r>
      <w:r w:rsidR="00635C9D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vor</w:t>
      </w:r>
      <w:r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for har</w:t>
      </w:r>
      <w:r w:rsidR="00635C9D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globaliseringen </w:t>
      </w:r>
      <w:r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bidraget til at øge velstandsniveauet i </w:t>
      </w:r>
      <w:r w:rsidR="00635C9D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EU</w:t>
      </w:r>
      <w:r w:rsidR="00542D3B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</w:p>
    <w:p w14:paraId="18935D5A" w14:textId="3FB00E70" w:rsidR="00635C9D" w:rsidRPr="00542D3B" w:rsidRDefault="00163BE9" w:rsidP="00542D3B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Handel, adgang til billigere varer, stigende produktivitet, markedsadgang</w:t>
      </w:r>
    </w:p>
    <w:p w14:paraId="127BDEEC" w14:textId="77777777" w:rsidR="00542D3B" w:rsidRPr="00542D3B" w:rsidRDefault="00542D3B" w:rsidP="00542D3B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4A61EF1E" w14:textId="77777777" w:rsidR="00542D3B" w:rsidRPr="00542D3B" w:rsidRDefault="00635C9D" w:rsidP="00542D3B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Hvorfor er protektionis</w:t>
      </w:r>
      <w:r w:rsidR="006D2F61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tiske holdninger for øjeblikket på vej frem</w:t>
      </w:r>
      <w:r w:rsidR="00542D3B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</w:p>
    <w:p w14:paraId="5BE4653E" w14:textId="0925A01A" w:rsidR="00635C9D" w:rsidRPr="00542D3B" w:rsidRDefault="00163BE9" w:rsidP="00542D3B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Folkelig bekymring i EU og USA (Trump udtryk for dette).</w:t>
      </w:r>
    </w:p>
    <w:p w14:paraId="3523C7FF" w14:textId="77777777" w:rsidR="00542D3B" w:rsidRPr="00542D3B" w:rsidRDefault="00542D3B" w:rsidP="00542D3B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037BC48A" w14:textId="77777777" w:rsidR="00542D3B" w:rsidRPr="00542D3B" w:rsidRDefault="00635C9D" w:rsidP="00542D3B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Hvorfor skaber USA’s </w:t>
      </w:r>
      <w:r w:rsidR="006D2F61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kursskifte på handelsområdet</w:t>
      </w:r>
      <w:r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øgede muligheder for EU</w:t>
      </w:r>
      <w:r w:rsidR="00542D3B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</w:p>
    <w:p w14:paraId="3BBFB98B" w14:textId="09C8C7A4" w:rsidR="00635C9D" w:rsidRPr="00542D3B" w:rsidRDefault="00163BE9" w:rsidP="00542D3B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Landene uden</w:t>
      </w:r>
      <w:r w:rsidR="00542D3B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for EU interesseret i aftaler med EU for at sikre deres afsætning.</w:t>
      </w:r>
    </w:p>
    <w:p w14:paraId="38BC4752" w14:textId="77777777" w:rsidR="00542D3B" w:rsidRPr="00542D3B" w:rsidRDefault="00542D3B" w:rsidP="00542D3B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05A7BFB9" w14:textId="52B1FF88" w:rsidR="00542D3B" w:rsidRPr="00542D3B" w:rsidRDefault="00635C9D" w:rsidP="00542D3B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Hvorfor </w:t>
      </w:r>
      <w:r w:rsidR="00955124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</w:t>
      </w:r>
      <w:r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er danskerne </w:t>
      </w:r>
      <w:r w:rsidR="006D2F61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generelt mere positivt på </w:t>
      </w:r>
      <w:r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globaliseringen </w:t>
      </w:r>
      <w:r w:rsidR="006D2F61"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end befolkningerne i det øvrige </w:t>
      </w:r>
      <w:r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EU</w:t>
      </w:r>
      <w:r w:rsid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</w:p>
    <w:p w14:paraId="35E1CAC0" w14:textId="0F72BD67" w:rsidR="00635C9D" w:rsidRPr="00542D3B" w:rsidRDefault="00163BE9" w:rsidP="00542D3B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Danmark blandt de lande, som har høstet flest fordele af liberalisering pga. vor store afhængighed af international handel.</w:t>
      </w:r>
    </w:p>
    <w:p w14:paraId="687C83DC" w14:textId="044602B0" w:rsidR="00542D3B" w:rsidRDefault="00542D3B" w:rsidP="00542D3B">
      <w:pPr>
        <w:spacing w:after="0"/>
        <w:rPr>
          <w:rFonts w:ascii="Times New Roman" w:hAnsi="Times New Roman" w:cs="Times New Roman"/>
          <w:b/>
          <w:sz w:val="20"/>
          <w:szCs w:val="20"/>
          <w:lang w:val="da-DK"/>
        </w:rPr>
      </w:pPr>
    </w:p>
    <w:p w14:paraId="0CE1D117" w14:textId="4E1F06D8" w:rsidR="00992212" w:rsidRDefault="00992212" w:rsidP="00542D3B">
      <w:pPr>
        <w:spacing w:after="0"/>
        <w:rPr>
          <w:rFonts w:ascii="Times New Roman" w:hAnsi="Times New Roman" w:cs="Times New Roman"/>
          <w:b/>
          <w:sz w:val="20"/>
          <w:szCs w:val="20"/>
          <w:lang w:val="da-DK"/>
        </w:rPr>
      </w:pPr>
    </w:p>
    <w:p w14:paraId="670A689B" w14:textId="23D0FF2B" w:rsidR="00992212" w:rsidRPr="00542D3B" w:rsidRDefault="00992212" w:rsidP="00992212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542D3B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6.1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7</w:t>
      </w:r>
    </w:p>
    <w:p w14:paraId="3F56AA60" w14:textId="786B60EF" w:rsidR="00637C93" w:rsidRDefault="00992212" w:rsidP="00542D3B">
      <w:pPr>
        <w:spacing w:after="0"/>
        <w:rPr>
          <w:rFonts w:ascii="Times New Roman" w:hAnsi="Times New Roman" w:cs="Times New Roman"/>
          <w:color w:val="C00000"/>
          <w:sz w:val="20"/>
          <w:szCs w:val="20"/>
          <w:lang w:val="da-DK"/>
        </w:rPr>
      </w:pPr>
      <w:r w:rsidRPr="00542D3B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Pointen er, at teorien om komparative fordele måske har begrænsninger i en tid, hvor i hvert fald kapital er bevægelig over landegrænser</w:t>
      </w:r>
      <w:r w:rsidRPr="00542D3B">
        <w:rPr>
          <w:rFonts w:ascii="Times New Roman" w:hAnsi="Times New Roman" w:cs="Times New Roman"/>
          <w:color w:val="C00000"/>
          <w:sz w:val="20"/>
          <w:szCs w:val="20"/>
          <w:lang w:val="da-DK"/>
        </w:rPr>
        <w:t>.</w:t>
      </w:r>
    </w:p>
    <w:sectPr w:rsidR="00637C93" w:rsidSect="00934EC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4285"/>
    <w:multiLevelType w:val="hybridMultilevel"/>
    <w:tmpl w:val="89284D0A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237D4"/>
    <w:multiLevelType w:val="hybridMultilevel"/>
    <w:tmpl w:val="7E8E92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C40E2"/>
    <w:multiLevelType w:val="hybridMultilevel"/>
    <w:tmpl w:val="A6DCB6CA"/>
    <w:lvl w:ilvl="0" w:tplc="F490EE5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D63B6"/>
    <w:multiLevelType w:val="hybridMultilevel"/>
    <w:tmpl w:val="14C4141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D0FDA"/>
    <w:multiLevelType w:val="hybridMultilevel"/>
    <w:tmpl w:val="E9C81E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A3C2D"/>
    <w:multiLevelType w:val="hybridMultilevel"/>
    <w:tmpl w:val="0638F0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4FE4"/>
    <w:multiLevelType w:val="hybridMultilevel"/>
    <w:tmpl w:val="458ED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E33F6"/>
    <w:multiLevelType w:val="hybridMultilevel"/>
    <w:tmpl w:val="824647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F606D"/>
    <w:multiLevelType w:val="hybridMultilevel"/>
    <w:tmpl w:val="6A7C9E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E4A5B"/>
    <w:multiLevelType w:val="hybridMultilevel"/>
    <w:tmpl w:val="8B18B2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7736F"/>
    <w:multiLevelType w:val="hybridMultilevel"/>
    <w:tmpl w:val="79FE77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3034A"/>
    <w:multiLevelType w:val="hybridMultilevel"/>
    <w:tmpl w:val="B8229E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D5A60"/>
    <w:multiLevelType w:val="hybridMultilevel"/>
    <w:tmpl w:val="CED67D4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654AA"/>
    <w:multiLevelType w:val="hybridMultilevel"/>
    <w:tmpl w:val="734C9F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774FD7"/>
    <w:multiLevelType w:val="hybridMultilevel"/>
    <w:tmpl w:val="7054E8D8"/>
    <w:lvl w:ilvl="0" w:tplc="0406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5"/>
  </w:num>
  <w:num w:numId="5">
    <w:abstractNumId w:val="13"/>
  </w:num>
  <w:num w:numId="6">
    <w:abstractNumId w:val="2"/>
  </w:num>
  <w:num w:numId="7">
    <w:abstractNumId w:val="9"/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3"/>
  </w:num>
  <w:num w:numId="13">
    <w:abstractNumId w:val="10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2B"/>
    <w:rsid w:val="000022F1"/>
    <w:rsid w:val="0001114D"/>
    <w:rsid w:val="0003597A"/>
    <w:rsid w:val="0004570B"/>
    <w:rsid w:val="00061AE2"/>
    <w:rsid w:val="000639AE"/>
    <w:rsid w:val="00063C43"/>
    <w:rsid w:val="00073483"/>
    <w:rsid w:val="00083979"/>
    <w:rsid w:val="000A1D99"/>
    <w:rsid w:val="000A5111"/>
    <w:rsid w:val="000C5A97"/>
    <w:rsid w:val="00100B98"/>
    <w:rsid w:val="00116D16"/>
    <w:rsid w:val="00163BE9"/>
    <w:rsid w:val="0016672B"/>
    <w:rsid w:val="00183A08"/>
    <w:rsid w:val="001864E4"/>
    <w:rsid w:val="001954E4"/>
    <w:rsid w:val="001A4446"/>
    <w:rsid w:val="001B3427"/>
    <w:rsid w:val="001C6570"/>
    <w:rsid w:val="001E19CD"/>
    <w:rsid w:val="001E28DD"/>
    <w:rsid w:val="002013ED"/>
    <w:rsid w:val="00207CDF"/>
    <w:rsid w:val="00214655"/>
    <w:rsid w:val="002269F6"/>
    <w:rsid w:val="002449A4"/>
    <w:rsid w:val="00282B6E"/>
    <w:rsid w:val="00286FE1"/>
    <w:rsid w:val="002A51A0"/>
    <w:rsid w:val="002B28B6"/>
    <w:rsid w:val="002C0EBF"/>
    <w:rsid w:val="002E1160"/>
    <w:rsid w:val="002E1673"/>
    <w:rsid w:val="002F08EE"/>
    <w:rsid w:val="003031DB"/>
    <w:rsid w:val="0032302D"/>
    <w:rsid w:val="003274FE"/>
    <w:rsid w:val="00331895"/>
    <w:rsid w:val="00335A4D"/>
    <w:rsid w:val="00342200"/>
    <w:rsid w:val="003432D9"/>
    <w:rsid w:val="003A2E01"/>
    <w:rsid w:val="003B7F9A"/>
    <w:rsid w:val="003F657E"/>
    <w:rsid w:val="00441C77"/>
    <w:rsid w:val="004470D7"/>
    <w:rsid w:val="00450CF4"/>
    <w:rsid w:val="00463791"/>
    <w:rsid w:val="00475D5A"/>
    <w:rsid w:val="00477611"/>
    <w:rsid w:val="00491003"/>
    <w:rsid w:val="00491727"/>
    <w:rsid w:val="00492647"/>
    <w:rsid w:val="004A7022"/>
    <w:rsid w:val="004C7170"/>
    <w:rsid w:val="004D3008"/>
    <w:rsid w:val="004E3982"/>
    <w:rsid w:val="004E7B99"/>
    <w:rsid w:val="00503BC0"/>
    <w:rsid w:val="00511131"/>
    <w:rsid w:val="00516F43"/>
    <w:rsid w:val="00521A99"/>
    <w:rsid w:val="00522BB6"/>
    <w:rsid w:val="005375F8"/>
    <w:rsid w:val="00542D3B"/>
    <w:rsid w:val="00544EC0"/>
    <w:rsid w:val="0055278F"/>
    <w:rsid w:val="00560917"/>
    <w:rsid w:val="00561A69"/>
    <w:rsid w:val="00562B7E"/>
    <w:rsid w:val="00563632"/>
    <w:rsid w:val="00573477"/>
    <w:rsid w:val="005739F7"/>
    <w:rsid w:val="00583B6B"/>
    <w:rsid w:val="00592FED"/>
    <w:rsid w:val="005946C5"/>
    <w:rsid w:val="005A0834"/>
    <w:rsid w:val="005B12A0"/>
    <w:rsid w:val="005C01D2"/>
    <w:rsid w:val="005E295D"/>
    <w:rsid w:val="0060235E"/>
    <w:rsid w:val="00602C54"/>
    <w:rsid w:val="0063352B"/>
    <w:rsid w:val="00635C9D"/>
    <w:rsid w:val="00637C93"/>
    <w:rsid w:val="006528C6"/>
    <w:rsid w:val="00676AED"/>
    <w:rsid w:val="006814AE"/>
    <w:rsid w:val="006A7D82"/>
    <w:rsid w:val="006B278A"/>
    <w:rsid w:val="006C453B"/>
    <w:rsid w:val="006D2F61"/>
    <w:rsid w:val="006D6DDA"/>
    <w:rsid w:val="00707D77"/>
    <w:rsid w:val="00713439"/>
    <w:rsid w:val="00742FA9"/>
    <w:rsid w:val="00756B38"/>
    <w:rsid w:val="007617AF"/>
    <w:rsid w:val="0076428D"/>
    <w:rsid w:val="00767211"/>
    <w:rsid w:val="007D19A4"/>
    <w:rsid w:val="007D499F"/>
    <w:rsid w:val="007E5ED6"/>
    <w:rsid w:val="007E7890"/>
    <w:rsid w:val="007F39D4"/>
    <w:rsid w:val="00817436"/>
    <w:rsid w:val="00823D6A"/>
    <w:rsid w:val="00847E4B"/>
    <w:rsid w:val="00857793"/>
    <w:rsid w:val="00860133"/>
    <w:rsid w:val="008755C2"/>
    <w:rsid w:val="00883CFF"/>
    <w:rsid w:val="00883E2F"/>
    <w:rsid w:val="008B4766"/>
    <w:rsid w:val="008C2C88"/>
    <w:rsid w:val="00903283"/>
    <w:rsid w:val="009149D1"/>
    <w:rsid w:val="00915070"/>
    <w:rsid w:val="009244D0"/>
    <w:rsid w:val="00934ECC"/>
    <w:rsid w:val="00944311"/>
    <w:rsid w:val="00955124"/>
    <w:rsid w:val="00974305"/>
    <w:rsid w:val="00975AC0"/>
    <w:rsid w:val="00992212"/>
    <w:rsid w:val="009A43E5"/>
    <w:rsid w:val="009A7DDD"/>
    <w:rsid w:val="009E0192"/>
    <w:rsid w:val="009E685B"/>
    <w:rsid w:val="009F7269"/>
    <w:rsid w:val="009F7B11"/>
    <w:rsid w:val="00A019B0"/>
    <w:rsid w:val="00A568A6"/>
    <w:rsid w:val="00A97C0C"/>
    <w:rsid w:val="00AA6612"/>
    <w:rsid w:val="00AB0960"/>
    <w:rsid w:val="00AB5B69"/>
    <w:rsid w:val="00B00E99"/>
    <w:rsid w:val="00B30D85"/>
    <w:rsid w:val="00B32E80"/>
    <w:rsid w:val="00B437DB"/>
    <w:rsid w:val="00B55B9A"/>
    <w:rsid w:val="00B65BBE"/>
    <w:rsid w:val="00BB3591"/>
    <w:rsid w:val="00BC0147"/>
    <w:rsid w:val="00BE16C5"/>
    <w:rsid w:val="00BE2889"/>
    <w:rsid w:val="00BE55D6"/>
    <w:rsid w:val="00C0239D"/>
    <w:rsid w:val="00C147F0"/>
    <w:rsid w:val="00C14A69"/>
    <w:rsid w:val="00C32EED"/>
    <w:rsid w:val="00C333B3"/>
    <w:rsid w:val="00C52A9E"/>
    <w:rsid w:val="00C53BF0"/>
    <w:rsid w:val="00C53C53"/>
    <w:rsid w:val="00C65AEA"/>
    <w:rsid w:val="00C8465B"/>
    <w:rsid w:val="00CA0FCD"/>
    <w:rsid w:val="00CB1E85"/>
    <w:rsid w:val="00CB7748"/>
    <w:rsid w:val="00CC2837"/>
    <w:rsid w:val="00CD14C9"/>
    <w:rsid w:val="00D00208"/>
    <w:rsid w:val="00D00956"/>
    <w:rsid w:val="00D2134D"/>
    <w:rsid w:val="00D3128E"/>
    <w:rsid w:val="00D32CDC"/>
    <w:rsid w:val="00D342A1"/>
    <w:rsid w:val="00D64443"/>
    <w:rsid w:val="00D73EEB"/>
    <w:rsid w:val="00D86BC2"/>
    <w:rsid w:val="00DA3CE3"/>
    <w:rsid w:val="00DA6EF7"/>
    <w:rsid w:val="00DE2493"/>
    <w:rsid w:val="00E044BA"/>
    <w:rsid w:val="00E07B04"/>
    <w:rsid w:val="00E17904"/>
    <w:rsid w:val="00E37B30"/>
    <w:rsid w:val="00E4509D"/>
    <w:rsid w:val="00E52199"/>
    <w:rsid w:val="00E53F69"/>
    <w:rsid w:val="00E60DF5"/>
    <w:rsid w:val="00E661CF"/>
    <w:rsid w:val="00E670F2"/>
    <w:rsid w:val="00E759D3"/>
    <w:rsid w:val="00E80D23"/>
    <w:rsid w:val="00E8245E"/>
    <w:rsid w:val="00E90503"/>
    <w:rsid w:val="00E93434"/>
    <w:rsid w:val="00EA0F80"/>
    <w:rsid w:val="00EA7B9C"/>
    <w:rsid w:val="00EB3377"/>
    <w:rsid w:val="00EB37C7"/>
    <w:rsid w:val="00EC7F64"/>
    <w:rsid w:val="00ED1AF6"/>
    <w:rsid w:val="00ED7DFE"/>
    <w:rsid w:val="00EF0EAF"/>
    <w:rsid w:val="00F06ADB"/>
    <w:rsid w:val="00F11822"/>
    <w:rsid w:val="00F118C5"/>
    <w:rsid w:val="00F16BCC"/>
    <w:rsid w:val="00F44848"/>
    <w:rsid w:val="00F47380"/>
    <w:rsid w:val="00F65C0C"/>
    <w:rsid w:val="00F80DE9"/>
    <w:rsid w:val="00F8236F"/>
    <w:rsid w:val="00F9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D5A83"/>
  <w15:docId w15:val="{489784EB-6D75-45B5-9375-7B7D35D4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ECC"/>
    <w:rPr>
      <w:lang w:val="en-US"/>
    </w:rPr>
  </w:style>
  <w:style w:type="paragraph" w:styleId="Overskrift2">
    <w:name w:val="heading 2"/>
    <w:basedOn w:val="Normal"/>
    <w:link w:val="Overskrift2Tegn"/>
    <w:uiPriority w:val="9"/>
    <w:qFormat/>
    <w:rsid w:val="00B65B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6672B"/>
    <w:pPr>
      <w:ind w:left="720"/>
      <w:contextualSpacing/>
    </w:pPr>
  </w:style>
  <w:style w:type="table" w:styleId="Tabel-Gitter">
    <w:name w:val="Table Grid"/>
    <w:basedOn w:val="Tabel-Normal"/>
    <w:uiPriority w:val="59"/>
    <w:rsid w:val="002B2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55D6"/>
    <w:rPr>
      <w:rFonts w:ascii="Tahoma" w:hAnsi="Tahoma" w:cs="Tahoma"/>
      <w:sz w:val="16"/>
      <w:szCs w:val="16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65BBE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B65BBE"/>
    <w:rPr>
      <w:color w:val="0000FF"/>
      <w:u w:val="single"/>
    </w:rPr>
  </w:style>
  <w:style w:type="character" w:styleId="Fremhv">
    <w:name w:val="Emphasis"/>
    <w:basedOn w:val="Standardskrifttypeiafsnit"/>
    <w:uiPriority w:val="20"/>
    <w:qFormat/>
    <w:rsid w:val="00B65BBE"/>
    <w:rPr>
      <w:i/>
      <w:iCs/>
    </w:rPr>
  </w:style>
  <w:style w:type="paragraph" w:styleId="NormalWeb">
    <w:name w:val="Normal (Web)"/>
    <w:basedOn w:val="Normal"/>
    <w:uiPriority w:val="99"/>
    <w:unhideWhenUsed/>
    <w:rsid w:val="00B6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post-date">
    <w:name w:val="post-date"/>
    <w:basedOn w:val="Standardskrifttypeiafsnit"/>
    <w:rsid w:val="00B65BBE"/>
  </w:style>
  <w:style w:type="character" w:customStyle="1" w:styleId="date-sep">
    <w:name w:val="date-sep"/>
    <w:basedOn w:val="Standardskrifttypeiafsnit"/>
    <w:rsid w:val="00B65BBE"/>
  </w:style>
  <w:style w:type="character" w:customStyle="1" w:styleId="post-author">
    <w:name w:val="post-author"/>
    <w:basedOn w:val="Standardskrifttypeiafsnit"/>
    <w:rsid w:val="00B65BBE"/>
  </w:style>
  <w:style w:type="character" w:customStyle="1" w:styleId="comment">
    <w:name w:val="comment"/>
    <w:basedOn w:val="Standardskrifttypeiafsnit"/>
    <w:rsid w:val="00E044BA"/>
  </w:style>
  <w:style w:type="character" w:styleId="Strk">
    <w:name w:val="Strong"/>
    <w:basedOn w:val="Standardskrifttypeiafsnit"/>
    <w:uiPriority w:val="22"/>
    <w:qFormat/>
    <w:rsid w:val="00E04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3E435-0CCF-4231-AA16-2E3A158C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766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Arkiver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Niels Houlberg Hansen</cp:lastModifiedBy>
  <cp:revision>6</cp:revision>
  <cp:lastPrinted>2018-08-16T11:01:00Z</cp:lastPrinted>
  <dcterms:created xsi:type="dcterms:W3CDTF">2020-07-22T12:00:00Z</dcterms:created>
  <dcterms:modified xsi:type="dcterms:W3CDTF">2021-07-22T09:25:00Z</dcterms:modified>
</cp:coreProperties>
</file>