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7A2C" w14:textId="36EB74FA" w:rsidR="00BD6CBD" w:rsidRDefault="00377D45" w:rsidP="00EA4907">
      <w:pPr>
        <w:spacing w:after="0"/>
        <w:rPr>
          <w:rFonts w:ascii="Times New Roman" w:hAnsi="Times New Roman" w:cs="Times New Roman"/>
          <w:b/>
          <w:color w:val="000000" w:themeColor="text1"/>
          <w:sz w:val="20"/>
          <w:szCs w:val="20"/>
          <w:lang w:val="da-DK"/>
        </w:rPr>
      </w:pPr>
      <w:bookmarkStart w:id="0" w:name="_GoBack"/>
      <w:bookmarkEnd w:id="0"/>
      <w:r>
        <w:rPr>
          <w:rFonts w:ascii="Times New Roman" w:hAnsi="Times New Roman" w:cs="Times New Roman"/>
          <w:b/>
          <w:color w:val="000000" w:themeColor="text1"/>
          <w:sz w:val="20"/>
          <w:szCs w:val="20"/>
          <w:lang w:val="da-DK"/>
        </w:rPr>
        <w:t>Spørgsmål til k</w:t>
      </w:r>
      <w:r w:rsidR="00BD6CBD">
        <w:rPr>
          <w:rFonts w:ascii="Times New Roman" w:hAnsi="Times New Roman" w:cs="Times New Roman"/>
          <w:b/>
          <w:color w:val="000000" w:themeColor="text1"/>
          <w:sz w:val="20"/>
          <w:szCs w:val="20"/>
          <w:lang w:val="da-DK"/>
        </w:rPr>
        <w:t>apitel 5: Penge- og valutamarkedet</w:t>
      </w:r>
    </w:p>
    <w:p w14:paraId="01F37736" w14:textId="06E705F1" w:rsidR="00EE2F27" w:rsidRDefault="00EE2F27" w:rsidP="00EA4907">
      <w:pPr>
        <w:spacing w:after="0"/>
        <w:rPr>
          <w:rFonts w:ascii="Times New Roman" w:hAnsi="Times New Roman" w:cs="Times New Roman"/>
          <w:b/>
          <w:color w:val="000000" w:themeColor="text1"/>
          <w:sz w:val="20"/>
          <w:szCs w:val="20"/>
          <w:lang w:val="da-DK"/>
        </w:rPr>
      </w:pPr>
    </w:p>
    <w:p w14:paraId="67DB98F5" w14:textId="77777777" w:rsidR="008A4C00" w:rsidRDefault="008A4C00" w:rsidP="00EA4907">
      <w:pPr>
        <w:spacing w:after="0"/>
        <w:rPr>
          <w:rFonts w:ascii="Times New Roman" w:hAnsi="Times New Roman" w:cs="Times New Roman"/>
          <w:b/>
          <w:color w:val="000000" w:themeColor="text1"/>
          <w:sz w:val="20"/>
          <w:szCs w:val="20"/>
          <w:lang w:val="da-DK"/>
        </w:rPr>
      </w:pPr>
    </w:p>
    <w:p w14:paraId="3BFAB033" w14:textId="6965D8B9" w:rsidR="00EE2F27" w:rsidRDefault="008A4C00" w:rsidP="008A4C00">
      <w:pPr>
        <w:spacing w:after="0"/>
        <w:rPr>
          <w:rFonts w:ascii="Times New Roman" w:hAnsi="Times New Roman" w:cs="Times New Roman"/>
          <w:sz w:val="20"/>
          <w:szCs w:val="20"/>
          <w:lang w:val="da-DK"/>
        </w:rPr>
      </w:pPr>
      <w:r>
        <w:rPr>
          <w:rFonts w:ascii="Times New Roman" w:hAnsi="Times New Roman" w:cs="Times New Roman"/>
          <w:sz w:val="20"/>
          <w:szCs w:val="20"/>
          <w:lang w:val="da-DK"/>
        </w:rPr>
        <w:t>Før du begynder på opgaverne, kan du g</w:t>
      </w:r>
      <w:r w:rsidR="00EE2F27">
        <w:rPr>
          <w:rFonts w:ascii="Times New Roman" w:hAnsi="Times New Roman" w:cs="Times New Roman"/>
          <w:sz w:val="20"/>
          <w:szCs w:val="20"/>
          <w:lang w:val="da-DK"/>
        </w:rPr>
        <w:t>å til følgende links for at repetere Nationalbankens hovedopgaver</w:t>
      </w:r>
      <w:r>
        <w:rPr>
          <w:rFonts w:ascii="Times New Roman" w:hAnsi="Times New Roman" w:cs="Times New Roman"/>
          <w:sz w:val="20"/>
          <w:szCs w:val="20"/>
          <w:lang w:val="da-DK"/>
        </w:rPr>
        <w:t>:</w:t>
      </w:r>
    </w:p>
    <w:p w14:paraId="52A19663" w14:textId="59E65754" w:rsidR="00EE2F27" w:rsidRDefault="0036483F" w:rsidP="008A4C00">
      <w:pPr>
        <w:spacing w:after="0"/>
        <w:rPr>
          <w:rFonts w:ascii="Times New Roman" w:hAnsi="Times New Roman" w:cs="Times New Roman"/>
          <w:sz w:val="20"/>
          <w:szCs w:val="20"/>
          <w:lang w:val="da-DK"/>
        </w:rPr>
      </w:pPr>
      <w:hyperlink r:id="rId7" w:history="1">
        <w:r w:rsidR="00EE2F27" w:rsidRPr="00DF2670">
          <w:rPr>
            <w:rStyle w:val="Hyperlink"/>
            <w:rFonts w:ascii="Times New Roman" w:hAnsi="Times New Roman" w:cs="Times New Roman"/>
            <w:sz w:val="20"/>
            <w:szCs w:val="20"/>
            <w:lang w:val="da-DK"/>
          </w:rPr>
          <w:t>https://www.youtube.com/watch?v=2x9U27iJq3I</w:t>
        </w:r>
      </w:hyperlink>
    </w:p>
    <w:p w14:paraId="178CFADA" w14:textId="5E604EDB" w:rsidR="00EE2F27" w:rsidRDefault="0036483F" w:rsidP="008A4C00">
      <w:pPr>
        <w:spacing w:after="0"/>
        <w:rPr>
          <w:rFonts w:ascii="Times New Roman" w:hAnsi="Times New Roman" w:cs="Times New Roman"/>
          <w:bCs/>
          <w:color w:val="000000" w:themeColor="text1"/>
          <w:sz w:val="20"/>
          <w:szCs w:val="20"/>
          <w:lang w:val="da-DK"/>
        </w:rPr>
      </w:pPr>
      <w:hyperlink r:id="rId8" w:history="1">
        <w:r w:rsidR="00EE2F27" w:rsidRPr="00DF2670">
          <w:rPr>
            <w:rStyle w:val="Hyperlink"/>
            <w:rFonts w:ascii="Times New Roman" w:hAnsi="Times New Roman" w:cs="Times New Roman"/>
            <w:bCs/>
            <w:sz w:val="20"/>
            <w:szCs w:val="20"/>
            <w:lang w:val="da-DK"/>
          </w:rPr>
          <w:t>https://vimeo.com/341994714</w:t>
        </w:r>
      </w:hyperlink>
    </w:p>
    <w:p w14:paraId="746023EF" w14:textId="77777777" w:rsidR="00EE2F27" w:rsidRPr="00EE2F27" w:rsidRDefault="00EE2F27" w:rsidP="00EA4907">
      <w:pPr>
        <w:spacing w:after="0"/>
        <w:rPr>
          <w:rFonts w:ascii="Times New Roman" w:hAnsi="Times New Roman" w:cs="Times New Roman"/>
          <w:bCs/>
          <w:color w:val="000000" w:themeColor="text1"/>
          <w:sz w:val="20"/>
          <w:szCs w:val="20"/>
          <w:lang w:val="da-DK"/>
        </w:rPr>
      </w:pPr>
    </w:p>
    <w:p w14:paraId="2DCEC10D" w14:textId="77777777" w:rsidR="00BD6CBD" w:rsidRDefault="00BD6CBD" w:rsidP="00EA4907">
      <w:pPr>
        <w:spacing w:after="0"/>
        <w:rPr>
          <w:rFonts w:ascii="Times New Roman" w:hAnsi="Times New Roman" w:cs="Times New Roman"/>
          <w:b/>
          <w:color w:val="000000" w:themeColor="text1"/>
          <w:sz w:val="20"/>
          <w:szCs w:val="20"/>
          <w:lang w:val="da-DK"/>
        </w:rPr>
      </w:pPr>
    </w:p>
    <w:p w14:paraId="7DFE1EED" w14:textId="3B478D51" w:rsidR="00622AE7" w:rsidRPr="009B7DA5" w:rsidRDefault="00622AE7"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EA4907" w:rsidRPr="009B7DA5">
        <w:rPr>
          <w:rFonts w:ascii="Times New Roman" w:hAnsi="Times New Roman" w:cs="Times New Roman"/>
          <w:b/>
          <w:color w:val="000000" w:themeColor="text1"/>
          <w:sz w:val="20"/>
          <w:szCs w:val="20"/>
          <w:lang w:val="da-DK"/>
        </w:rPr>
        <w:t>1</w:t>
      </w:r>
    </w:p>
    <w:p w14:paraId="18F56B6D" w14:textId="405EFA3D" w:rsidR="00622AE7" w:rsidRPr="009B7DA5" w:rsidRDefault="00622AE7"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Redegør for begrebet pengepolitik</w:t>
      </w:r>
      <w:r w:rsidR="00EA4907" w:rsidRPr="009B7DA5">
        <w:rPr>
          <w:rFonts w:ascii="Times New Roman" w:hAnsi="Times New Roman" w:cs="Times New Roman"/>
          <w:color w:val="000000" w:themeColor="text1"/>
          <w:sz w:val="20"/>
          <w:szCs w:val="20"/>
          <w:lang w:val="da-DK"/>
        </w:rPr>
        <w:t>.</w:t>
      </w:r>
    </w:p>
    <w:p w14:paraId="1A26FBDB" w14:textId="77777777" w:rsidR="00622AE7" w:rsidRDefault="00622AE7" w:rsidP="004D4879">
      <w:pPr>
        <w:spacing w:after="0"/>
        <w:rPr>
          <w:rFonts w:ascii="Times New Roman" w:hAnsi="Times New Roman" w:cs="Times New Roman"/>
          <w:b/>
          <w:color w:val="000000" w:themeColor="text1"/>
          <w:sz w:val="20"/>
          <w:szCs w:val="20"/>
          <w:lang w:val="da-DK"/>
        </w:rPr>
      </w:pPr>
    </w:p>
    <w:p w14:paraId="52C7BFD7" w14:textId="77777777" w:rsidR="004D4879" w:rsidRDefault="004D4879" w:rsidP="004D4879">
      <w:pPr>
        <w:spacing w:after="0"/>
        <w:rPr>
          <w:rFonts w:ascii="Times New Roman" w:hAnsi="Times New Roman" w:cs="Times New Roman"/>
          <w:b/>
          <w:color w:val="000000" w:themeColor="text1"/>
          <w:sz w:val="20"/>
          <w:szCs w:val="20"/>
          <w:lang w:val="da-DK"/>
        </w:rPr>
      </w:pPr>
    </w:p>
    <w:p w14:paraId="39699E5B" w14:textId="25B52124" w:rsidR="0009767F" w:rsidRPr="0009767F" w:rsidRDefault="0009767F" w:rsidP="0009767F">
      <w:pPr>
        <w:spacing w:after="0"/>
        <w:rPr>
          <w:rFonts w:ascii="Times New Roman" w:hAnsi="Times New Roman" w:cs="Times New Roman"/>
          <w:b/>
          <w:color w:val="000000" w:themeColor="text1"/>
          <w:sz w:val="20"/>
          <w:szCs w:val="20"/>
          <w:lang w:val="da-DK"/>
        </w:rPr>
      </w:pPr>
      <w:r w:rsidRPr="0009767F">
        <w:rPr>
          <w:rFonts w:ascii="Times New Roman" w:hAnsi="Times New Roman" w:cs="Times New Roman"/>
          <w:b/>
          <w:color w:val="000000" w:themeColor="text1"/>
          <w:sz w:val="20"/>
          <w:szCs w:val="20"/>
          <w:lang w:val="da-DK"/>
        </w:rPr>
        <w:t>5.2</w:t>
      </w:r>
    </w:p>
    <w:p w14:paraId="23ECE692" w14:textId="659A5965" w:rsidR="0009767F" w:rsidRPr="0009767F" w:rsidRDefault="0009767F" w:rsidP="0009767F">
      <w:pPr>
        <w:spacing w:after="0"/>
        <w:rPr>
          <w:rFonts w:ascii="Times New Roman" w:hAnsi="Times New Roman" w:cs="Times New Roman"/>
          <w:color w:val="000000" w:themeColor="text1"/>
          <w:sz w:val="20"/>
          <w:szCs w:val="20"/>
          <w:lang w:val="da-DK"/>
        </w:rPr>
      </w:pPr>
      <w:r w:rsidRPr="0009767F">
        <w:rPr>
          <w:rFonts w:ascii="Times New Roman" w:hAnsi="Times New Roman" w:cs="Times New Roman"/>
          <w:color w:val="000000" w:themeColor="text1"/>
          <w:sz w:val="20"/>
          <w:szCs w:val="20"/>
          <w:lang w:val="da-DK"/>
        </w:rPr>
        <w:t>Forklar</w:t>
      </w:r>
      <w:r>
        <w:rPr>
          <w:rFonts w:ascii="Times New Roman" w:hAnsi="Times New Roman" w:cs="Times New Roman"/>
          <w:color w:val="000000" w:themeColor="text1"/>
          <w:sz w:val="20"/>
          <w:szCs w:val="20"/>
          <w:lang w:val="da-DK"/>
        </w:rPr>
        <w:t>,</w:t>
      </w:r>
      <w:r w:rsidRPr="0009767F">
        <w:rPr>
          <w:rFonts w:ascii="Times New Roman" w:hAnsi="Times New Roman" w:cs="Times New Roman"/>
          <w:color w:val="000000" w:themeColor="text1"/>
          <w:sz w:val="20"/>
          <w:szCs w:val="20"/>
          <w:lang w:val="da-DK"/>
        </w:rPr>
        <w:t xml:space="preserve"> hvilken rolle </w:t>
      </w:r>
      <w:r>
        <w:rPr>
          <w:rFonts w:ascii="Times New Roman" w:hAnsi="Times New Roman" w:cs="Times New Roman"/>
          <w:color w:val="000000" w:themeColor="text1"/>
          <w:sz w:val="20"/>
          <w:szCs w:val="20"/>
          <w:lang w:val="da-DK"/>
        </w:rPr>
        <w:t xml:space="preserve">henholdsvis pengeinstitutterne og </w:t>
      </w:r>
      <w:r w:rsidRPr="0009767F">
        <w:rPr>
          <w:rFonts w:ascii="Times New Roman" w:hAnsi="Times New Roman" w:cs="Times New Roman"/>
          <w:color w:val="000000" w:themeColor="text1"/>
          <w:sz w:val="20"/>
          <w:szCs w:val="20"/>
          <w:lang w:val="da-DK"/>
        </w:rPr>
        <w:t xml:space="preserve">Nationalbanken </w:t>
      </w:r>
      <w:r>
        <w:rPr>
          <w:rFonts w:ascii="Times New Roman" w:hAnsi="Times New Roman" w:cs="Times New Roman"/>
          <w:color w:val="000000" w:themeColor="text1"/>
          <w:sz w:val="20"/>
          <w:szCs w:val="20"/>
          <w:lang w:val="da-DK"/>
        </w:rPr>
        <w:t xml:space="preserve">spiller </w:t>
      </w:r>
      <w:r w:rsidRPr="0009767F">
        <w:rPr>
          <w:rFonts w:ascii="Times New Roman" w:hAnsi="Times New Roman" w:cs="Times New Roman"/>
          <w:color w:val="000000" w:themeColor="text1"/>
          <w:sz w:val="20"/>
          <w:szCs w:val="20"/>
          <w:lang w:val="da-DK"/>
        </w:rPr>
        <w:t>i pengeskabelsen</w:t>
      </w:r>
      <w:r w:rsidR="00593E52">
        <w:rPr>
          <w:rFonts w:ascii="Times New Roman" w:hAnsi="Times New Roman" w:cs="Times New Roman"/>
          <w:color w:val="000000" w:themeColor="text1"/>
          <w:sz w:val="20"/>
          <w:szCs w:val="20"/>
          <w:lang w:val="da-DK"/>
        </w:rPr>
        <w:t>.</w:t>
      </w:r>
    </w:p>
    <w:p w14:paraId="516AC61A" w14:textId="77777777" w:rsidR="0009767F" w:rsidRDefault="0009767F" w:rsidP="004D4879">
      <w:pPr>
        <w:spacing w:after="0"/>
        <w:rPr>
          <w:rFonts w:ascii="Times New Roman" w:hAnsi="Times New Roman" w:cs="Times New Roman"/>
          <w:b/>
          <w:color w:val="000000" w:themeColor="text1"/>
          <w:sz w:val="20"/>
          <w:szCs w:val="20"/>
          <w:lang w:val="da-DK"/>
        </w:rPr>
      </w:pPr>
    </w:p>
    <w:p w14:paraId="54176F66" w14:textId="77777777" w:rsidR="004D4879" w:rsidRPr="009B7DA5" w:rsidRDefault="004D4879" w:rsidP="004D4879">
      <w:pPr>
        <w:spacing w:after="0"/>
        <w:rPr>
          <w:rFonts w:ascii="Times New Roman" w:hAnsi="Times New Roman" w:cs="Times New Roman"/>
          <w:b/>
          <w:color w:val="000000" w:themeColor="text1"/>
          <w:sz w:val="20"/>
          <w:szCs w:val="20"/>
          <w:lang w:val="da-DK"/>
        </w:rPr>
      </w:pPr>
    </w:p>
    <w:p w14:paraId="6498D06E" w14:textId="0A28697A" w:rsidR="003546F4" w:rsidRPr="009B7DA5" w:rsidRDefault="00D97B72"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09767F">
        <w:rPr>
          <w:rFonts w:ascii="Times New Roman" w:hAnsi="Times New Roman" w:cs="Times New Roman"/>
          <w:b/>
          <w:color w:val="000000" w:themeColor="text1"/>
          <w:sz w:val="20"/>
          <w:szCs w:val="20"/>
          <w:lang w:val="da-DK"/>
        </w:rPr>
        <w:t>3</w:t>
      </w:r>
    </w:p>
    <w:p w14:paraId="5580FDED" w14:textId="2B373F05" w:rsidR="00D97B72" w:rsidRPr="009B7DA5" w:rsidRDefault="00D97B72"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Siden finanskrisen begyndelse i 200</w:t>
      </w:r>
      <w:r w:rsidR="00593E52">
        <w:rPr>
          <w:rFonts w:ascii="Times New Roman" w:hAnsi="Times New Roman" w:cs="Times New Roman"/>
          <w:color w:val="000000" w:themeColor="text1"/>
          <w:sz w:val="20"/>
          <w:szCs w:val="20"/>
          <w:lang w:val="da-DK"/>
        </w:rPr>
        <w:t>8</w:t>
      </w:r>
      <w:r w:rsidRPr="009B7DA5">
        <w:rPr>
          <w:rFonts w:ascii="Times New Roman" w:hAnsi="Times New Roman" w:cs="Times New Roman"/>
          <w:color w:val="000000" w:themeColor="text1"/>
          <w:sz w:val="20"/>
          <w:szCs w:val="20"/>
          <w:lang w:val="da-DK"/>
        </w:rPr>
        <w:t xml:space="preserve"> har der blandt politikere og økonomer lydt krav til bankerne om, at bankernes kapitalgrundlag skulle styrkes.</w:t>
      </w:r>
    </w:p>
    <w:p w14:paraId="509A5180" w14:textId="1DAF9CCF" w:rsidR="00D97B72" w:rsidRPr="009B7DA5" w:rsidRDefault="00D97B72" w:rsidP="002A48C3">
      <w:pPr>
        <w:pStyle w:val="Listeafsnit"/>
        <w:numPr>
          <w:ilvl w:val="0"/>
          <w:numId w:val="1"/>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Hvad menes der med, at kapitalgrundlaget skal styrkes?</w:t>
      </w:r>
    </w:p>
    <w:p w14:paraId="4B3584A0" w14:textId="77777777" w:rsidR="00D97B72" w:rsidRPr="009B7DA5" w:rsidRDefault="00D97B72" w:rsidP="00EA4907">
      <w:pPr>
        <w:pStyle w:val="Listeafsnit"/>
        <w:numPr>
          <w:ilvl w:val="0"/>
          <w:numId w:val="1"/>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Hvilken indvirkning får skærpede kapitalkrav </w:t>
      </w:r>
      <w:r w:rsidR="00622AE7" w:rsidRPr="009B7DA5">
        <w:rPr>
          <w:rFonts w:ascii="Times New Roman" w:hAnsi="Times New Roman" w:cs="Times New Roman"/>
          <w:color w:val="000000" w:themeColor="text1"/>
          <w:sz w:val="20"/>
          <w:szCs w:val="20"/>
          <w:lang w:val="da-DK"/>
        </w:rPr>
        <w:t>til</w:t>
      </w:r>
      <w:r w:rsidRPr="009B7DA5">
        <w:rPr>
          <w:rFonts w:ascii="Times New Roman" w:hAnsi="Times New Roman" w:cs="Times New Roman"/>
          <w:color w:val="000000" w:themeColor="text1"/>
          <w:sz w:val="20"/>
          <w:szCs w:val="20"/>
          <w:lang w:val="da-DK"/>
        </w:rPr>
        <w:t xml:space="preserve"> bankerne for deres pengeskabende evne?</w:t>
      </w:r>
    </w:p>
    <w:p w14:paraId="306E8C4E" w14:textId="77777777" w:rsidR="00EA4907" w:rsidRDefault="00EA4907" w:rsidP="00EA4907">
      <w:pPr>
        <w:spacing w:after="0"/>
        <w:rPr>
          <w:rFonts w:ascii="Times New Roman" w:hAnsi="Times New Roman" w:cs="Times New Roman"/>
          <w:color w:val="000000" w:themeColor="text1"/>
          <w:sz w:val="20"/>
          <w:szCs w:val="20"/>
          <w:lang w:val="da-DK"/>
        </w:rPr>
      </w:pPr>
    </w:p>
    <w:p w14:paraId="22198328" w14:textId="77777777" w:rsidR="004D4879" w:rsidRPr="009B7DA5" w:rsidRDefault="004D4879" w:rsidP="00EA4907">
      <w:pPr>
        <w:spacing w:after="0"/>
        <w:rPr>
          <w:rFonts w:ascii="Times New Roman" w:hAnsi="Times New Roman" w:cs="Times New Roman"/>
          <w:color w:val="000000" w:themeColor="text1"/>
          <w:sz w:val="20"/>
          <w:szCs w:val="20"/>
          <w:lang w:val="da-DK"/>
        </w:rPr>
      </w:pPr>
    </w:p>
    <w:p w14:paraId="5F2DC1E5" w14:textId="3352F647" w:rsidR="00D97B72" w:rsidRPr="009B7DA5" w:rsidRDefault="00D97B72"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09767F">
        <w:rPr>
          <w:rFonts w:ascii="Times New Roman" w:hAnsi="Times New Roman" w:cs="Times New Roman"/>
          <w:b/>
          <w:color w:val="000000" w:themeColor="text1"/>
          <w:sz w:val="20"/>
          <w:szCs w:val="20"/>
          <w:lang w:val="da-DK"/>
        </w:rPr>
        <w:t>4</w:t>
      </w:r>
    </w:p>
    <w:p w14:paraId="79744AE0" w14:textId="77777777" w:rsidR="00D97B72" w:rsidRPr="009B7DA5" w:rsidRDefault="00D97B72"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Inden for EU er mange fortalere for, at lovgivningen over for de finansielle institutioner, herunder bankerne, skal harmoniseres.</w:t>
      </w:r>
    </w:p>
    <w:p w14:paraId="7D6967A9" w14:textId="1CC080DB" w:rsidR="00D97B72" w:rsidRPr="009B7DA5" w:rsidRDefault="00D97B72" w:rsidP="002A48C3">
      <w:pPr>
        <w:pStyle w:val="Listeafsnit"/>
        <w:numPr>
          <w:ilvl w:val="0"/>
          <w:numId w:val="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Hvad menes der i denne sammenhæng med ordet harmonisering?</w:t>
      </w:r>
    </w:p>
    <w:p w14:paraId="4FBABB00" w14:textId="77777777" w:rsidR="00D97B72" w:rsidRPr="009B7DA5" w:rsidRDefault="00D97B72" w:rsidP="00EA4907">
      <w:pPr>
        <w:pStyle w:val="Listeafsnit"/>
        <w:numPr>
          <w:ilvl w:val="0"/>
          <w:numId w:val="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Hvad kunne i forhold til bankerne være eksempler på harmonisering?</w:t>
      </w:r>
    </w:p>
    <w:p w14:paraId="49A4CB89" w14:textId="74F895DA" w:rsidR="00D97B72" w:rsidRPr="009B7DA5" w:rsidRDefault="00D97B72" w:rsidP="00EA4907">
      <w:pPr>
        <w:pStyle w:val="Listeafsnit"/>
        <w:numPr>
          <w:ilvl w:val="0"/>
          <w:numId w:val="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Diskuter begrebet </w:t>
      </w:r>
      <w:r w:rsidR="002A48C3" w:rsidRP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kapitalens frie bevægelighed</w:t>
      </w:r>
      <w:r w:rsidR="002A48C3" w:rsidRP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 xml:space="preserve"> i forbindelse med harmonisering</w:t>
      </w:r>
      <w:r w:rsidR="002A48C3" w:rsidRPr="009B7DA5">
        <w:rPr>
          <w:rFonts w:ascii="Times New Roman" w:hAnsi="Times New Roman" w:cs="Times New Roman"/>
          <w:color w:val="000000" w:themeColor="text1"/>
          <w:sz w:val="20"/>
          <w:szCs w:val="20"/>
          <w:lang w:val="da-DK"/>
        </w:rPr>
        <w:t>.</w:t>
      </w:r>
    </w:p>
    <w:p w14:paraId="2576F5BF" w14:textId="77777777" w:rsidR="00EA4907" w:rsidRDefault="00EA4907" w:rsidP="00EA4907">
      <w:pPr>
        <w:spacing w:after="0"/>
        <w:rPr>
          <w:rFonts w:ascii="Times New Roman" w:hAnsi="Times New Roman" w:cs="Times New Roman"/>
          <w:b/>
          <w:color w:val="000000" w:themeColor="text1"/>
          <w:sz w:val="20"/>
          <w:szCs w:val="20"/>
          <w:lang w:val="da-DK"/>
        </w:rPr>
      </w:pPr>
    </w:p>
    <w:p w14:paraId="47C96CF9" w14:textId="77777777" w:rsidR="004D4879" w:rsidRDefault="004D4879" w:rsidP="00EA4907">
      <w:pPr>
        <w:spacing w:after="0"/>
        <w:rPr>
          <w:rFonts w:ascii="Times New Roman" w:hAnsi="Times New Roman" w:cs="Times New Roman"/>
          <w:b/>
          <w:color w:val="000000" w:themeColor="text1"/>
          <w:sz w:val="20"/>
          <w:szCs w:val="20"/>
          <w:lang w:val="da-DK"/>
        </w:rPr>
      </w:pPr>
    </w:p>
    <w:p w14:paraId="7D8950BE" w14:textId="10BEC2AF" w:rsidR="0009767F" w:rsidRPr="0009767F" w:rsidRDefault="0009767F" w:rsidP="0009767F">
      <w:pPr>
        <w:spacing w:after="0"/>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5.5</w:t>
      </w:r>
    </w:p>
    <w:p w14:paraId="17EB89E7" w14:textId="5C171225" w:rsidR="0009767F" w:rsidRPr="0009767F" w:rsidRDefault="00D427B5" w:rsidP="0009767F">
      <w:p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I</w:t>
      </w:r>
      <w:r w:rsidR="0009767F" w:rsidRPr="0009767F">
        <w:rPr>
          <w:rFonts w:ascii="Times New Roman" w:hAnsi="Times New Roman" w:cs="Times New Roman"/>
          <w:color w:val="000000" w:themeColor="text1"/>
          <w:sz w:val="20"/>
          <w:szCs w:val="20"/>
          <w:lang w:val="da-DK"/>
        </w:rPr>
        <w:t xml:space="preserve">nflationen i </w:t>
      </w:r>
      <w:r w:rsidR="0009767F">
        <w:rPr>
          <w:rFonts w:ascii="Times New Roman" w:hAnsi="Times New Roman" w:cs="Times New Roman"/>
          <w:color w:val="000000" w:themeColor="text1"/>
          <w:sz w:val="20"/>
          <w:szCs w:val="20"/>
          <w:lang w:val="da-DK"/>
        </w:rPr>
        <w:t>euro</w:t>
      </w:r>
      <w:r w:rsidR="0009767F" w:rsidRPr="0009767F">
        <w:rPr>
          <w:rFonts w:ascii="Times New Roman" w:hAnsi="Times New Roman" w:cs="Times New Roman"/>
          <w:color w:val="000000" w:themeColor="text1"/>
          <w:sz w:val="20"/>
          <w:szCs w:val="20"/>
          <w:lang w:val="da-DK"/>
        </w:rPr>
        <w:t xml:space="preserve">-området </w:t>
      </w:r>
      <w:r>
        <w:rPr>
          <w:rFonts w:ascii="Times New Roman" w:hAnsi="Times New Roman" w:cs="Times New Roman"/>
          <w:color w:val="000000" w:themeColor="text1"/>
          <w:sz w:val="20"/>
          <w:szCs w:val="20"/>
          <w:lang w:val="da-DK"/>
        </w:rPr>
        <w:t xml:space="preserve">har </w:t>
      </w:r>
      <w:r w:rsidR="001546CE">
        <w:rPr>
          <w:rFonts w:ascii="Times New Roman" w:hAnsi="Times New Roman" w:cs="Times New Roman"/>
          <w:color w:val="000000" w:themeColor="text1"/>
          <w:sz w:val="20"/>
          <w:szCs w:val="20"/>
          <w:lang w:val="da-DK"/>
        </w:rPr>
        <w:t xml:space="preserve">i en årrække </w:t>
      </w:r>
      <w:r>
        <w:rPr>
          <w:rFonts w:ascii="Times New Roman" w:hAnsi="Times New Roman" w:cs="Times New Roman"/>
          <w:color w:val="000000" w:themeColor="text1"/>
          <w:sz w:val="20"/>
          <w:szCs w:val="20"/>
          <w:lang w:val="da-DK"/>
        </w:rPr>
        <w:t>ligget</w:t>
      </w:r>
      <w:r w:rsidR="0009767F" w:rsidRPr="0009767F">
        <w:rPr>
          <w:rFonts w:ascii="Times New Roman" w:hAnsi="Times New Roman" w:cs="Times New Roman"/>
          <w:color w:val="000000" w:themeColor="text1"/>
          <w:sz w:val="20"/>
          <w:szCs w:val="20"/>
          <w:lang w:val="da-DK"/>
        </w:rPr>
        <w:t xml:space="preserve"> betydeligt under målet på ca. 2</w:t>
      </w:r>
      <w:r w:rsidR="0009767F">
        <w:rPr>
          <w:rFonts w:ascii="Times New Roman" w:hAnsi="Times New Roman" w:cs="Times New Roman"/>
          <w:color w:val="000000" w:themeColor="text1"/>
          <w:sz w:val="20"/>
          <w:szCs w:val="20"/>
          <w:lang w:val="da-DK"/>
        </w:rPr>
        <w:t xml:space="preserve"> </w:t>
      </w:r>
      <w:r w:rsidR="00960F24">
        <w:rPr>
          <w:rFonts w:ascii="Times New Roman" w:hAnsi="Times New Roman" w:cs="Times New Roman"/>
          <w:color w:val="000000" w:themeColor="text1"/>
          <w:sz w:val="20"/>
          <w:szCs w:val="20"/>
          <w:lang w:val="da-DK"/>
        </w:rPr>
        <w:t>%</w:t>
      </w:r>
      <w:r w:rsidR="008A4C00">
        <w:rPr>
          <w:rFonts w:ascii="Times New Roman" w:hAnsi="Times New Roman" w:cs="Times New Roman"/>
          <w:color w:val="000000" w:themeColor="text1"/>
          <w:sz w:val="20"/>
          <w:szCs w:val="20"/>
          <w:lang w:val="da-DK"/>
        </w:rPr>
        <w:t xml:space="preserve">, og </w:t>
      </w:r>
      <w:r w:rsidR="00832957">
        <w:rPr>
          <w:rFonts w:ascii="Times New Roman" w:hAnsi="Times New Roman" w:cs="Times New Roman"/>
          <w:color w:val="000000" w:themeColor="text1"/>
          <w:sz w:val="20"/>
          <w:szCs w:val="20"/>
          <w:lang w:val="da-DK"/>
        </w:rPr>
        <w:t>siden</w:t>
      </w:r>
      <w:r w:rsidR="00960F24">
        <w:rPr>
          <w:rFonts w:ascii="Times New Roman" w:hAnsi="Times New Roman" w:cs="Times New Roman"/>
          <w:color w:val="000000" w:themeColor="text1"/>
          <w:sz w:val="20"/>
          <w:szCs w:val="20"/>
          <w:lang w:val="da-DK"/>
        </w:rPr>
        <w:t xml:space="preserve"> 2013 </w:t>
      </w:r>
      <w:r w:rsidR="008A4C00">
        <w:rPr>
          <w:rFonts w:ascii="Times New Roman" w:hAnsi="Times New Roman" w:cs="Times New Roman"/>
          <w:color w:val="000000" w:themeColor="text1"/>
          <w:sz w:val="20"/>
          <w:szCs w:val="20"/>
          <w:lang w:val="da-DK"/>
        </w:rPr>
        <w:t xml:space="preserve">har ECB </w:t>
      </w:r>
      <w:r w:rsidR="0009767F" w:rsidRPr="0009767F">
        <w:rPr>
          <w:rFonts w:ascii="Times New Roman" w:hAnsi="Times New Roman" w:cs="Times New Roman"/>
          <w:color w:val="000000" w:themeColor="text1"/>
          <w:sz w:val="20"/>
          <w:szCs w:val="20"/>
          <w:lang w:val="da-DK"/>
        </w:rPr>
        <w:t>søgt at forøge inflationen, så den nærmer sig 2</w:t>
      </w:r>
      <w:r w:rsidR="0009767F">
        <w:rPr>
          <w:rFonts w:ascii="Times New Roman" w:hAnsi="Times New Roman" w:cs="Times New Roman"/>
          <w:color w:val="000000" w:themeColor="text1"/>
          <w:sz w:val="20"/>
          <w:szCs w:val="20"/>
          <w:lang w:val="da-DK"/>
        </w:rPr>
        <w:t xml:space="preserve"> </w:t>
      </w:r>
      <w:r w:rsidR="0009767F" w:rsidRPr="0009767F">
        <w:rPr>
          <w:rFonts w:ascii="Times New Roman" w:hAnsi="Times New Roman" w:cs="Times New Roman"/>
          <w:color w:val="000000" w:themeColor="text1"/>
          <w:sz w:val="20"/>
          <w:szCs w:val="20"/>
          <w:lang w:val="da-DK"/>
        </w:rPr>
        <w:t xml:space="preserve">% i </w:t>
      </w:r>
      <w:r w:rsidR="0009767F">
        <w:rPr>
          <w:rFonts w:ascii="Times New Roman" w:hAnsi="Times New Roman" w:cs="Times New Roman"/>
          <w:color w:val="000000" w:themeColor="text1"/>
          <w:sz w:val="20"/>
          <w:szCs w:val="20"/>
          <w:lang w:val="da-DK"/>
        </w:rPr>
        <w:t>euro</w:t>
      </w:r>
      <w:r w:rsidR="0009767F" w:rsidRPr="0009767F">
        <w:rPr>
          <w:rFonts w:ascii="Times New Roman" w:hAnsi="Times New Roman" w:cs="Times New Roman"/>
          <w:color w:val="000000" w:themeColor="text1"/>
          <w:sz w:val="20"/>
          <w:szCs w:val="20"/>
          <w:lang w:val="da-DK"/>
        </w:rPr>
        <w:t>-området.</w:t>
      </w:r>
    </w:p>
    <w:p w14:paraId="42162694" w14:textId="77777777" w:rsidR="0009767F" w:rsidRPr="0009767F" w:rsidRDefault="0009767F" w:rsidP="0009767F">
      <w:pPr>
        <w:pStyle w:val="Listeafsnit"/>
        <w:numPr>
          <w:ilvl w:val="0"/>
          <w:numId w:val="17"/>
        </w:numPr>
        <w:spacing w:after="0"/>
        <w:rPr>
          <w:rFonts w:ascii="Times New Roman" w:hAnsi="Times New Roman" w:cs="Times New Roman"/>
          <w:color w:val="000000" w:themeColor="text1"/>
          <w:sz w:val="20"/>
          <w:szCs w:val="20"/>
          <w:lang w:val="da-DK"/>
        </w:rPr>
      </w:pPr>
      <w:r w:rsidRPr="0009767F">
        <w:rPr>
          <w:rFonts w:ascii="Times New Roman" w:hAnsi="Times New Roman" w:cs="Times New Roman"/>
          <w:color w:val="000000" w:themeColor="text1"/>
          <w:sz w:val="20"/>
          <w:szCs w:val="20"/>
          <w:lang w:val="da-DK"/>
        </w:rPr>
        <w:t>Inddrag de forskellige inflationstyper og diskuter, hvorfor inflationen er så lav i disse år.</w:t>
      </w:r>
    </w:p>
    <w:p w14:paraId="66D2D66D" w14:textId="77777777" w:rsidR="0009767F" w:rsidRPr="0009767F" w:rsidRDefault="0009767F" w:rsidP="0009767F">
      <w:pPr>
        <w:pStyle w:val="Listeafsnit"/>
        <w:numPr>
          <w:ilvl w:val="0"/>
          <w:numId w:val="17"/>
        </w:numPr>
        <w:spacing w:after="0"/>
        <w:rPr>
          <w:rFonts w:ascii="Times New Roman" w:hAnsi="Times New Roman" w:cs="Times New Roman"/>
          <w:color w:val="000000" w:themeColor="text1"/>
          <w:sz w:val="20"/>
          <w:szCs w:val="20"/>
          <w:lang w:val="da-DK"/>
        </w:rPr>
      </w:pPr>
      <w:r w:rsidRPr="0009767F">
        <w:rPr>
          <w:rFonts w:ascii="Times New Roman" w:hAnsi="Times New Roman" w:cs="Times New Roman"/>
          <w:color w:val="000000" w:themeColor="text1"/>
          <w:sz w:val="20"/>
          <w:szCs w:val="20"/>
          <w:lang w:val="da-DK"/>
        </w:rPr>
        <w:t>Hvad er forklaringen på, at man i ECB har et mål for inflation på ca. 2</w:t>
      </w:r>
      <w:r>
        <w:rPr>
          <w:rFonts w:ascii="Times New Roman" w:hAnsi="Times New Roman" w:cs="Times New Roman"/>
          <w:color w:val="000000" w:themeColor="text1"/>
          <w:sz w:val="20"/>
          <w:szCs w:val="20"/>
          <w:lang w:val="da-DK"/>
        </w:rPr>
        <w:t xml:space="preserve"> </w:t>
      </w:r>
      <w:r w:rsidRPr="0009767F">
        <w:rPr>
          <w:rFonts w:ascii="Times New Roman" w:hAnsi="Times New Roman" w:cs="Times New Roman"/>
          <w:color w:val="000000" w:themeColor="text1"/>
          <w:sz w:val="20"/>
          <w:szCs w:val="20"/>
          <w:lang w:val="da-DK"/>
        </w:rPr>
        <w:t>%?</w:t>
      </w:r>
    </w:p>
    <w:p w14:paraId="41790B8F" w14:textId="77777777" w:rsidR="0009767F" w:rsidRPr="0009767F" w:rsidRDefault="0009767F" w:rsidP="0009767F">
      <w:pPr>
        <w:pStyle w:val="Listeafsnit"/>
        <w:numPr>
          <w:ilvl w:val="0"/>
          <w:numId w:val="17"/>
        </w:numPr>
        <w:spacing w:after="0"/>
        <w:rPr>
          <w:rFonts w:ascii="Times New Roman" w:hAnsi="Times New Roman" w:cs="Times New Roman"/>
          <w:color w:val="000000" w:themeColor="text1"/>
          <w:sz w:val="20"/>
          <w:szCs w:val="20"/>
          <w:lang w:val="da-DK"/>
        </w:rPr>
      </w:pPr>
      <w:r w:rsidRPr="0009767F">
        <w:rPr>
          <w:rFonts w:ascii="Times New Roman" w:hAnsi="Times New Roman" w:cs="Times New Roman"/>
          <w:color w:val="000000" w:themeColor="text1"/>
          <w:sz w:val="20"/>
          <w:szCs w:val="20"/>
          <w:lang w:val="da-DK"/>
        </w:rPr>
        <w:t>Hvilke midler kan ECB tage i brug for at øge inflationen?</w:t>
      </w:r>
    </w:p>
    <w:p w14:paraId="5BBD3F5E" w14:textId="77777777" w:rsidR="0009767F" w:rsidRPr="0009767F" w:rsidRDefault="0009767F" w:rsidP="0009767F">
      <w:pPr>
        <w:pStyle w:val="Listeafsnit"/>
        <w:numPr>
          <w:ilvl w:val="0"/>
          <w:numId w:val="17"/>
        </w:numPr>
        <w:spacing w:after="0"/>
        <w:rPr>
          <w:rFonts w:ascii="Times New Roman" w:hAnsi="Times New Roman" w:cs="Times New Roman"/>
          <w:color w:val="000000" w:themeColor="text1"/>
          <w:sz w:val="20"/>
          <w:szCs w:val="20"/>
          <w:lang w:val="da-DK"/>
        </w:rPr>
      </w:pPr>
      <w:r w:rsidRPr="0009767F">
        <w:rPr>
          <w:rFonts w:ascii="Times New Roman" w:hAnsi="Times New Roman" w:cs="Times New Roman"/>
          <w:color w:val="000000" w:themeColor="text1"/>
          <w:sz w:val="20"/>
          <w:szCs w:val="20"/>
          <w:lang w:val="da-DK"/>
        </w:rPr>
        <w:t>Hvorfor kan den lave inflation være bekymrende for landenes økonomi?</w:t>
      </w:r>
    </w:p>
    <w:p w14:paraId="23012230" w14:textId="77777777" w:rsidR="0009767F" w:rsidRDefault="0009767F" w:rsidP="00EA4907">
      <w:pPr>
        <w:spacing w:after="0"/>
        <w:rPr>
          <w:rFonts w:ascii="Times New Roman" w:hAnsi="Times New Roman" w:cs="Times New Roman"/>
          <w:color w:val="000000" w:themeColor="text1"/>
          <w:sz w:val="20"/>
          <w:szCs w:val="20"/>
          <w:lang w:val="da-DK"/>
        </w:rPr>
      </w:pPr>
    </w:p>
    <w:p w14:paraId="15666553" w14:textId="77777777" w:rsidR="004D4879" w:rsidRPr="00593E52" w:rsidRDefault="004D4879" w:rsidP="00EA4907">
      <w:pPr>
        <w:spacing w:after="0"/>
        <w:rPr>
          <w:rFonts w:ascii="Times New Roman" w:hAnsi="Times New Roman" w:cs="Times New Roman"/>
          <w:color w:val="000000" w:themeColor="text1"/>
          <w:sz w:val="20"/>
          <w:szCs w:val="20"/>
          <w:lang w:val="da-DK"/>
        </w:rPr>
      </w:pPr>
    </w:p>
    <w:p w14:paraId="01A95BF9" w14:textId="77777777" w:rsidR="00593E52" w:rsidRPr="009B7DA5" w:rsidRDefault="00593E52" w:rsidP="00593E52">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Pr>
          <w:rFonts w:ascii="Times New Roman" w:hAnsi="Times New Roman" w:cs="Times New Roman"/>
          <w:b/>
          <w:color w:val="000000" w:themeColor="text1"/>
          <w:sz w:val="20"/>
          <w:szCs w:val="20"/>
          <w:lang w:val="da-DK"/>
        </w:rPr>
        <w:t>6</w:t>
      </w:r>
    </w:p>
    <w:p w14:paraId="3188A84F" w14:textId="62EABC06" w:rsidR="00593E52" w:rsidRPr="00593E52" w:rsidRDefault="00593E52" w:rsidP="00593E52">
      <w:p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 xml:space="preserve">Når </w:t>
      </w:r>
      <w:r w:rsidR="009333EA">
        <w:rPr>
          <w:rFonts w:ascii="Times New Roman" w:hAnsi="Times New Roman" w:cs="Times New Roman"/>
          <w:color w:val="000000" w:themeColor="text1"/>
          <w:sz w:val="20"/>
          <w:szCs w:val="20"/>
          <w:lang w:val="da-DK"/>
        </w:rPr>
        <w:t>prisudviklineg</w:t>
      </w:r>
      <w:r w:rsidRPr="00593E52">
        <w:rPr>
          <w:rFonts w:ascii="Times New Roman" w:hAnsi="Times New Roman" w:cs="Times New Roman"/>
          <w:color w:val="000000" w:themeColor="text1"/>
          <w:sz w:val="20"/>
          <w:szCs w:val="20"/>
          <w:lang w:val="da-DK"/>
        </w:rPr>
        <w:t xml:space="preserve"> over en periode går fra at være positiv til negativ, taler man om deflation. </w:t>
      </w:r>
    </w:p>
    <w:p w14:paraId="62ADA79A" w14:textId="294C4992" w:rsidR="00593E52" w:rsidRPr="00593E52" w:rsidRDefault="00593E52" w:rsidP="00593E52">
      <w:pPr>
        <w:pStyle w:val="Listeafsnit"/>
        <w:numPr>
          <w:ilvl w:val="0"/>
          <w:numId w:val="19"/>
        </w:num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 xml:space="preserve">Hvad er forklaringen på, at priserne på produkter generelt falder? </w:t>
      </w:r>
    </w:p>
    <w:p w14:paraId="3B03B508" w14:textId="736CAFBD" w:rsidR="00593E52" w:rsidRPr="00593E52" w:rsidRDefault="00593E52" w:rsidP="00593E52">
      <w:pPr>
        <w:pStyle w:val="Listeafsnit"/>
        <w:numPr>
          <w:ilvl w:val="0"/>
          <w:numId w:val="19"/>
        </w:num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 xml:space="preserve">Hvorfor er det vanskeligt gennem pengepolitik at imødegå </w:t>
      </w:r>
      <w:r w:rsidR="00500E68">
        <w:rPr>
          <w:rFonts w:ascii="Times New Roman" w:hAnsi="Times New Roman" w:cs="Times New Roman"/>
          <w:color w:val="000000" w:themeColor="text1"/>
          <w:sz w:val="20"/>
          <w:szCs w:val="20"/>
          <w:lang w:val="da-DK"/>
        </w:rPr>
        <w:t>deflation</w:t>
      </w:r>
      <w:r w:rsidRPr="00593E52">
        <w:rPr>
          <w:rFonts w:ascii="Times New Roman" w:hAnsi="Times New Roman" w:cs="Times New Roman"/>
          <w:color w:val="000000" w:themeColor="text1"/>
          <w:sz w:val="20"/>
          <w:szCs w:val="20"/>
          <w:lang w:val="da-DK"/>
        </w:rPr>
        <w:t xml:space="preserve">? </w:t>
      </w:r>
    </w:p>
    <w:p w14:paraId="6FC7CA60" w14:textId="610C27F0" w:rsidR="00593E52" w:rsidRPr="00593E52" w:rsidRDefault="00593E52" w:rsidP="00593E52">
      <w:pPr>
        <w:pStyle w:val="Listeafsnit"/>
        <w:numPr>
          <w:ilvl w:val="0"/>
          <w:numId w:val="19"/>
        </w:num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Hvilken anden form for økonomisk politik er der behov for at anvende i tilfælde af deflation?</w:t>
      </w:r>
    </w:p>
    <w:p w14:paraId="5EABBAE3" w14:textId="77777777" w:rsidR="00593E52" w:rsidRDefault="00593E52" w:rsidP="00EA4907">
      <w:pPr>
        <w:spacing w:after="0"/>
        <w:rPr>
          <w:rFonts w:ascii="Times New Roman" w:hAnsi="Times New Roman" w:cs="Times New Roman"/>
          <w:color w:val="000000" w:themeColor="text1"/>
          <w:sz w:val="20"/>
          <w:szCs w:val="20"/>
          <w:lang w:val="da-DK"/>
        </w:rPr>
      </w:pPr>
    </w:p>
    <w:p w14:paraId="1449E4F7" w14:textId="77777777" w:rsidR="004D4879" w:rsidRPr="00593E52" w:rsidRDefault="004D4879" w:rsidP="00EA4907">
      <w:pPr>
        <w:spacing w:after="0"/>
        <w:rPr>
          <w:rFonts w:ascii="Times New Roman" w:hAnsi="Times New Roman" w:cs="Times New Roman"/>
          <w:color w:val="000000" w:themeColor="text1"/>
          <w:sz w:val="20"/>
          <w:szCs w:val="20"/>
          <w:lang w:val="da-DK"/>
        </w:rPr>
      </w:pPr>
    </w:p>
    <w:p w14:paraId="10F1CC5D" w14:textId="42AF3516" w:rsidR="00D97B72" w:rsidRPr="009B7DA5" w:rsidRDefault="00737CAE"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593E52">
        <w:rPr>
          <w:rFonts w:ascii="Times New Roman" w:hAnsi="Times New Roman" w:cs="Times New Roman"/>
          <w:b/>
          <w:color w:val="000000" w:themeColor="text1"/>
          <w:sz w:val="20"/>
          <w:szCs w:val="20"/>
          <w:lang w:val="da-DK"/>
        </w:rPr>
        <w:t>7</w:t>
      </w:r>
    </w:p>
    <w:p w14:paraId="2739CEC6" w14:textId="77777777" w:rsidR="00D97B72" w:rsidRPr="009B7DA5" w:rsidRDefault="00737CAE"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Hvad er forskellen mellem et pengeløst samfund og et kontantløst samfund?</w:t>
      </w:r>
    </w:p>
    <w:p w14:paraId="05B80876" w14:textId="77777777" w:rsidR="00EA4907" w:rsidRDefault="00EA4907" w:rsidP="00EA4907">
      <w:pPr>
        <w:spacing w:after="0"/>
        <w:rPr>
          <w:rFonts w:ascii="Times New Roman" w:hAnsi="Times New Roman" w:cs="Times New Roman"/>
          <w:b/>
          <w:color w:val="000000" w:themeColor="text1"/>
          <w:sz w:val="20"/>
          <w:szCs w:val="20"/>
          <w:lang w:val="da-DK"/>
        </w:rPr>
      </w:pPr>
    </w:p>
    <w:p w14:paraId="71E199F7" w14:textId="77777777" w:rsidR="004D4879" w:rsidRPr="009B7DA5" w:rsidRDefault="004D4879" w:rsidP="00EA4907">
      <w:pPr>
        <w:spacing w:after="0"/>
        <w:rPr>
          <w:rFonts w:ascii="Times New Roman" w:hAnsi="Times New Roman" w:cs="Times New Roman"/>
          <w:b/>
          <w:color w:val="000000" w:themeColor="text1"/>
          <w:sz w:val="20"/>
          <w:szCs w:val="20"/>
          <w:lang w:val="da-DK"/>
        </w:rPr>
      </w:pPr>
    </w:p>
    <w:p w14:paraId="6FBE443D" w14:textId="177BBC92" w:rsidR="00737CAE" w:rsidRPr="009B7DA5" w:rsidRDefault="00737CAE"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593E52">
        <w:rPr>
          <w:rFonts w:ascii="Times New Roman" w:hAnsi="Times New Roman" w:cs="Times New Roman"/>
          <w:b/>
          <w:color w:val="000000" w:themeColor="text1"/>
          <w:sz w:val="20"/>
          <w:szCs w:val="20"/>
          <w:lang w:val="da-DK"/>
        </w:rPr>
        <w:t>8</w:t>
      </w:r>
    </w:p>
    <w:p w14:paraId="714CCED8" w14:textId="6B04BE94" w:rsidR="00737CAE" w:rsidRPr="009B7DA5" w:rsidRDefault="00737CAE"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Hvad sker der med pengemængden, når </w:t>
      </w:r>
      <w:r w:rsidR="002A48C3" w:rsidRPr="009B7DA5">
        <w:rPr>
          <w:rFonts w:ascii="Times New Roman" w:hAnsi="Times New Roman" w:cs="Times New Roman"/>
          <w:color w:val="000000" w:themeColor="text1"/>
          <w:sz w:val="20"/>
          <w:szCs w:val="20"/>
          <w:lang w:val="da-DK"/>
        </w:rPr>
        <w:t>N</w:t>
      </w:r>
      <w:r w:rsidRPr="009B7DA5">
        <w:rPr>
          <w:rFonts w:ascii="Times New Roman" w:hAnsi="Times New Roman" w:cs="Times New Roman"/>
          <w:color w:val="000000" w:themeColor="text1"/>
          <w:sz w:val="20"/>
          <w:szCs w:val="20"/>
          <w:lang w:val="da-DK"/>
        </w:rPr>
        <w:t>ationalbanken opkøber obligationer?</w:t>
      </w:r>
    </w:p>
    <w:p w14:paraId="4D044D65" w14:textId="77777777" w:rsidR="00EA4907" w:rsidRDefault="00EA4907" w:rsidP="00EA4907">
      <w:pPr>
        <w:spacing w:after="0"/>
        <w:rPr>
          <w:rFonts w:ascii="Times New Roman" w:hAnsi="Times New Roman" w:cs="Times New Roman"/>
          <w:b/>
          <w:color w:val="000000" w:themeColor="text1"/>
          <w:sz w:val="20"/>
          <w:szCs w:val="20"/>
          <w:lang w:val="da-DK"/>
        </w:rPr>
      </w:pPr>
    </w:p>
    <w:p w14:paraId="056B7707" w14:textId="77777777" w:rsidR="004D4879" w:rsidRDefault="004D4879" w:rsidP="00EA4907">
      <w:pPr>
        <w:spacing w:after="0"/>
        <w:rPr>
          <w:rFonts w:ascii="Times New Roman" w:hAnsi="Times New Roman" w:cs="Times New Roman"/>
          <w:b/>
          <w:color w:val="000000" w:themeColor="text1"/>
          <w:sz w:val="20"/>
          <w:szCs w:val="20"/>
          <w:lang w:val="da-DK"/>
        </w:rPr>
      </w:pPr>
    </w:p>
    <w:p w14:paraId="76DC8872" w14:textId="77777777" w:rsidR="004D4879" w:rsidRPr="009B7DA5" w:rsidRDefault="004D4879" w:rsidP="00EA4907">
      <w:pPr>
        <w:spacing w:after="0"/>
        <w:rPr>
          <w:rFonts w:ascii="Times New Roman" w:hAnsi="Times New Roman" w:cs="Times New Roman"/>
          <w:b/>
          <w:color w:val="000000" w:themeColor="text1"/>
          <w:sz w:val="20"/>
          <w:szCs w:val="20"/>
          <w:lang w:val="da-DK"/>
        </w:rPr>
      </w:pPr>
    </w:p>
    <w:p w14:paraId="2AA829E2" w14:textId="265BBC79" w:rsidR="00737CAE" w:rsidRPr="009B7DA5" w:rsidRDefault="00737CAE"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593E52">
        <w:rPr>
          <w:rFonts w:ascii="Times New Roman" w:hAnsi="Times New Roman" w:cs="Times New Roman"/>
          <w:b/>
          <w:color w:val="000000" w:themeColor="text1"/>
          <w:sz w:val="20"/>
          <w:szCs w:val="20"/>
          <w:lang w:val="da-DK"/>
        </w:rPr>
        <w:t>9</w:t>
      </w:r>
    </w:p>
    <w:p w14:paraId="105B8EDB" w14:textId="754B096E" w:rsidR="00737CAE" w:rsidRPr="009B7DA5" w:rsidRDefault="00737CAE"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Hvilken sammenhæng er der </w:t>
      </w:r>
      <w:r w:rsidR="002A48C3" w:rsidRP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alt andet lige</w:t>
      </w:r>
      <w:r w:rsidR="002A48C3" w:rsidRP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 xml:space="preserve"> mellem rente og opsparing?</w:t>
      </w:r>
    </w:p>
    <w:p w14:paraId="36DE6095" w14:textId="77777777" w:rsidR="00EA4907" w:rsidRDefault="00EA4907" w:rsidP="00EA4907">
      <w:pPr>
        <w:spacing w:after="0"/>
        <w:rPr>
          <w:rFonts w:ascii="Times New Roman" w:hAnsi="Times New Roman" w:cs="Times New Roman"/>
          <w:b/>
          <w:color w:val="000000" w:themeColor="text1"/>
          <w:sz w:val="20"/>
          <w:szCs w:val="20"/>
          <w:lang w:val="da-DK"/>
        </w:rPr>
      </w:pPr>
    </w:p>
    <w:p w14:paraId="06C1F388" w14:textId="77777777" w:rsidR="004D4879" w:rsidRPr="009B7DA5" w:rsidRDefault="004D4879" w:rsidP="00EA4907">
      <w:pPr>
        <w:spacing w:after="0"/>
        <w:rPr>
          <w:rFonts w:ascii="Times New Roman" w:hAnsi="Times New Roman" w:cs="Times New Roman"/>
          <w:b/>
          <w:color w:val="000000" w:themeColor="text1"/>
          <w:sz w:val="20"/>
          <w:szCs w:val="20"/>
          <w:lang w:val="da-DK"/>
        </w:rPr>
      </w:pPr>
    </w:p>
    <w:p w14:paraId="2384338A" w14:textId="26C6E539" w:rsidR="00737CAE" w:rsidRPr="009B7DA5" w:rsidRDefault="00737CAE"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593E52">
        <w:rPr>
          <w:rFonts w:ascii="Times New Roman" w:hAnsi="Times New Roman" w:cs="Times New Roman"/>
          <w:b/>
          <w:color w:val="000000" w:themeColor="text1"/>
          <w:sz w:val="20"/>
          <w:szCs w:val="20"/>
          <w:lang w:val="da-DK"/>
        </w:rPr>
        <w:t>10</w:t>
      </w:r>
    </w:p>
    <w:p w14:paraId="21B9EFA7" w14:textId="0C2C032F" w:rsidR="00737CAE" w:rsidRPr="009B7DA5" w:rsidRDefault="00737CAE"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Redegør kort for penge- og kapitalmarkedets vigtigste funktioner.</w:t>
      </w:r>
    </w:p>
    <w:p w14:paraId="0F82C764" w14:textId="77777777" w:rsidR="00EA4907" w:rsidRDefault="00EA4907" w:rsidP="00EA4907">
      <w:pPr>
        <w:spacing w:after="0"/>
        <w:rPr>
          <w:rFonts w:ascii="Times New Roman" w:hAnsi="Times New Roman" w:cs="Times New Roman"/>
          <w:color w:val="000000" w:themeColor="text1"/>
          <w:sz w:val="20"/>
          <w:szCs w:val="20"/>
          <w:lang w:val="da-DK"/>
        </w:rPr>
      </w:pPr>
    </w:p>
    <w:p w14:paraId="59A84D6B" w14:textId="77777777" w:rsidR="004D4879" w:rsidRPr="009B7DA5" w:rsidRDefault="004D4879" w:rsidP="00EA4907">
      <w:pPr>
        <w:spacing w:after="0"/>
        <w:rPr>
          <w:rFonts w:ascii="Times New Roman" w:hAnsi="Times New Roman" w:cs="Times New Roman"/>
          <w:color w:val="000000" w:themeColor="text1"/>
          <w:sz w:val="20"/>
          <w:szCs w:val="20"/>
          <w:lang w:val="da-DK"/>
        </w:rPr>
      </w:pPr>
    </w:p>
    <w:p w14:paraId="752BAE2F" w14:textId="3D6C7D7C" w:rsidR="00737CAE" w:rsidRPr="009B7DA5" w:rsidRDefault="00737CAE"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960F24">
        <w:rPr>
          <w:rFonts w:ascii="Times New Roman" w:hAnsi="Times New Roman" w:cs="Times New Roman"/>
          <w:b/>
          <w:color w:val="000000" w:themeColor="text1"/>
          <w:sz w:val="20"/>
          <w:szCs w:val="20"/>
          <w:lang w:val="da-DK"/>
        </w:rPr>
        <w:t>1</w:t>
      </w:r>
      <w:r w:rsidR="00593E52">
        <w:rPr>
          <w:rFonts w:ascii="Times New Roman" w:hAnsi="Times New Roman" w:cs="Times New Roman"/>
          <w:b/>
          <w:color w:val="000000" w:themeColor="text1"/>
          <w:sz w:val="20"/>
          <w:szCs w:val="20"/>
          <w:lang w:val="da-DK"/>
        </w:rPr>
        <w:t>1</w:t>
      </w:r>
    </w:p>
    <w:p w14:paraId="27C63D15" w14:textId="47B21EDF" w:rsidR="00737CAE" w:rsidRPr="009B7DA5" w:rsidRDefault="00737CAE"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På hvilken måde vil du forvente, at følgend</w:t>
      </w:r>
      <w:r w:rsidR="00960F24">
        <w:rPr>
          <w:rFonts w:ascii="Times New Roman" w:hAnsi="Times New Roman" w:cs="Times New Roman"/>
          <w:color w:val="000000" w:themeColor="text1"/>
          <w:sz w:val="20"/>
          <w:szCs w:val="20"/>
          <w:lang w:val="da-DK"/>
        </w:rPr>
        <w:t>e forhold påvirker efterspørgse</w:t>
      </w:r>
      <w:r w:rsidRPr="009B7DA5">
        <w:rPr>
          <w:rFonts w:ascii="Times New Roman" w:hAnsi="Times New Roman" w:cs="Times New Roman"/>
          <w:color w:val="000000" w:themeColor="text1"/>
          <w:sz w:val="20"/>
          <w:szCs w:val="20"/>
          <w:lang w:val="da-DK"/>
        </w:rPr>
        <w:t>lskurven efter penge i et rente</w:t>
      </w:r>
      <w:r w:rsidR="00EA4907" w:rsidRP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/pengediagram?</w:t>
      </w:r>
    </w:p>
    <w:p w14:paraId="7B2219C7" w14:textId="77777777" w:rsidR="00737CAE" w:rsidRPr="009B7DA5" w:rsidRDefault="003A5D1A"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Et fald i obligationsrenten.</w:t>
      </w:r>
    </w:p>
    <w:p w14:paraId="6643EE9D" w14:textId="77777777" w:rsidR="003A5D1A" w:rsidRPr="009B7DA5" w:rsidRDefault="003A5D1A"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Et fald i prisniveauet.</w:t>
      </w:r>
    </w:p>
    <w:p w14:paraId="5725D8AC" w14:textId="77777777" w:rsidR="003A5D1A" w:rsidRPr="009B7DA5" w:rsidRDefault="003A5D1A"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Generel overgang fra ugeløn til månedsløn.</w:t>
      </w:r>
    </w:p>
    <w:p w14:paraId="61F61DF1" w14:textId="77777777" w:rsidR="003A5D1A" w:rsidRPr="009B7DA5" w:rsidRDefault="00622AE7"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BNP</w:t>
      </w:r>
      <w:r w:rsidR="003A5D1A" w:rsidRPr="009B7DA5">
        <w:rPr>
          <w:rFonts w:ascii="Times New Roman" w:hAnsi="Times New Roman" w:cs="Times New Roman"/>
          <w:color w:val="000000" w:themeColor="text1"/>
          <w:sz w:val="20"/>
          <w:szCs w:val="20"/>
          <w:lang w:val="da-DK"/>
        </w:rPr>
        <w:t xml:space="preserve"> i faste priser stiger.</w:t>
      </w:r>
    </w:p>
    <w:p w14:paraId="39E79020" w14:textId="77777777" w:rsidR="003A5D1A" w:rsidRPr="009B7DA5" w:rsidRDefault="003A5D1A"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Husholdningernes stigende usikkerhed om fremtidige indtægter og udgifter.</w:t>
      </w:r>
    </w:p>
    <w:p w14:paraId="0390F2D8" w14:textId="77777777" w:rsidR="003A5D1A" w:rsidRPr="009B7DA5" w:rsidRDefault="003A5D1A" w:rsidP="00EA4907">
      <w:pPr>
        <w:pStyle w:val="Listeafsnit"/>
        <w:numPr>
          <w:ilvl w:val="0"/>
          <w:numId w:val="4"/>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En generel stigning i den forventede fremtidige rente.</w:t>
      </w:r>
    </w:p>
    <w:p w14:paraId="466E243F" w14:textId="77777777" w:rsidR="00EA4907" w:rsidRDefault="00EA4907" w:rsidP="00EA4907">
      <w:pPr>
        <w:spacing w:after="0"/>
        <w:rPr>
          <w:rFonts w:ascii="Times New Roman" w:hAnsi="Times New Roman" w:cs="Times New Roman"/>
          <w:color w:val="000000" w:themeColor="text1"/>
          <w:sz w:val="20"/>
          <w:szCs w:val="20"/>
          <w:lang w:val="da-DK"/>
        </w:rPr>
      </w:pPr>
    </w:p>
    <w:p w14:paraId="28AEF7BC" w14:textId="77777777" w:rsidR="004D4879" w:rsidRPr="0009767F" w:rsidRDefault="004D4879" w:rsidP="00EA4907">
      <w:pPr>
        <w:spacing w:after="0"/>
        <w:rPr>
          <w:rFonts w:ascii="Times New Roman" w:hAnsi="Times New Roman" w:cs="Times New Roman"/>
          <w:color w:val="000000" w:themeColor="text1"/>
          <w:sz w:val="20"/>
          <w:szCs w:val="20"/>
          <w:lang w:val="da-DK"/>
        </w:rPr>
      </w:pPr>
    </w:p>
    <w:p w14:paraId="6AC10C6D" w14:textId="62DA829E" w:rsidR="00737CAE" w:rsidRPr="009B7DA5" w:rsidRDefault="003A5D1A"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w:t>
      </w:r>
      <w:r w:rsidR="00EA4907" w:rsidRPr="009B7DA5">
        <w:rPr>
          <w:rFonts w:ascii="Times New Roman" w:hAnsi="Times New Roman" w:cs="Times New Roman"/>
          <w:b/>
          <w:color w:val="000000" w:themeColor="text1"/>
          <w:sz w:val="20"/>
          <w:szCs w:val="20"/>
          <w:lang w:val="da-DK"/>
        </w:rPr>
        <w:t>1</w:t>
      </w:r>
      <w:r w:rsidR="00960F24">
        <w:rPr>
          <w:rFonts w:ascii="Times New Roman" w:hAnsi="Times New Roman" w:cs="Times New Roman"/>
          <w:b/>
          <w:color w:val="000000" w:themeColor="text1"/>
          <w:sz w:val="20"/>
          <w:szCs w:val="20"/>
          <w:lang w:val="da-DK"/>
        </w:rPr>
        <w:t>2</w:t>
      </w:r>
    </w:p>
    <w:p w14:paraId="0B06A823" w14:textId="65389A04" w:rsidR="003A5D1A" w:rsidRPr="009B7DA5" w:rsidRDefault="003A5D1A"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Kommenter </w:t>
      </w:r>
      <w:r w:rsidR="009B7DA5">
        <w:rPr>
          <w:rFonts w:ascii="Times New Roman" w:hAnsi="Times New Roman" w:cs="Times New Roman"/>
          <w:color w:val="000000" w:themeColor="text1"/>
          <w:sz w:val="20"/>
          <w:szCs w:val="20"/>
          <w:lang w:val="da-DK"/>
        </w:rPr>
        <w:t xml:space="preserve">rigtigheden af </w:t>
      </w:r>
      <w:r w:rsidRPr="009B7DA5">
        <w:rPr>
          <w:rFonts w:ascii="Times New Roman" w:hAnsi="Times New Roman" w:cs="Times New Roman"/>
          <w:color w:val="000000" w:themeColor="text1"/>
          <w:sz w:val="20"/>
          <w:szCs w:val="20"/>
          <w:lang w:val="da-DK"/>
        </w:rPr>
        <w:t>følgende udsagn:</w:t>
      </w:r>
    </w:p>
    <w:p w14:paraId="196D07D5" w14:textId="66942D8C" w:rsidR="003A5D1A" w:rsidRPr="009B7DA5" w:rsidRDefault="003A5D1A" w:rsidP="009B7DA5">
      <w:pPr>
        <w:pStyle w:val="Listeafsnit"/>
        <w:numPr>
          <w:ilvl w:val="0"/>
          <w:numId w:val="1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Inflation skyldes, at der er for mange penge i omløb.</w:t>
      </w:r>
    </w:p>
    <w:p w14:paraId="06D223F0" w14:textId="1F1D82C4" w:rsidR="003A5D1A" w:rsidRPr="009B7DA5" w:rsidRDefault="009B7DA5" w:rsidP="009B7DA5">
      <w:pPr>
        <w:pStyle w:val="Listeafsnit"/>
        <w:numPr>
          <w:ilvl w:val="0"/>
          <w:numId w:val="1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E</w:t>
      </w:r>
      <w:r w:rsidR="003A5D1A" w:rsidRPr="009B7DA5">
        <w:rPr>
          <w:rFonts w:ascii="Times New Roman" w:hAnsi="Times New Roman" w:cs="Times New Roman"/>
          <w:color w:val="000000" w:themeColor="text1"/>
          <w:sz w:val="20"/>
          <w:szCs w:val="20"/>
          <w:lang w:val="da-DK"/>
        </w:rPr>
        <w:t>n falsk 500</w:t>
      </w:r>
      <w:r w:rsidRPr="009B7DA5">
        <w:rPr>
          <w:rFonts w:ascii="Times New Roman" w:hAnsi="Times New Roman" w:cs="Times New Roman"/>
          <w:color w:val="000000" w:themeColor="text1"/>
          <w:sz w:val="20"/>
          <w:szCs w:val="20"/>
          <w:lang w:val="da-DK"/>
        </w:rPr>
        <w:t>-</w:t>
      </w:r>
      <w:r w:rsidR="003A5D1A" w:rsidRPr="009B7DA5">
        <w:rPr>
          <w:rFonts w:ascii="Times New Roman" w:hAnsi="Times New Roman" w:cs="Times New Roman"/>
          <w:color w:val="000000" w:themeColor="text1"/>
          <w:sz w:val="20"/>
          <w:szCs w:val="20"/>
          <w:lang w:val="da-DK"/>
        </w:rPr>
        <w:t>kr</w:t>
      </w:r>
      <w:r w:rsidRPr="009B7DA5">
        <w:rPr>
          <w:rFonts w:ascii="Times New Roman" w:hAnsi="Times New Roman" w:cs="Times New Roman"/>
          <w:color w:val="000000" w:themeColor="text1"/>
          <w:sz w:val="20"/>
          <w:szCs w:val="20"/>
          <w:lang w:val="da-DK"/>
        </w:rPr>
        <w:t>one</w:t>
      </w:r>
      <w:r w:rsidR="003A5D1A" w:rsidRPr="009B7DA5">
        <w:rPr>
          <w:rFonts w:ascii="Times New Roman" w:hAnsi="Times New Roman" w:cs="Times New Roman"/>
          <w:color w:val="000000" w:themeColor="text1"/>
          <w:sz w:val="20"/>
          <w:szCs w:val="20"/>
          <w:lang w:val="da-DK"/>
        </w:rPr>
        <w:t xml:space="preserve">seddel kan </w:t>
      </w:r>
      <w:r w:rsidRPr="009B7DA5">
        <w:rPr>
          <w:rFonts w:ascii="Times New Roman" w:hAnsi="Times New Roman" w:cs="Times New Roman"/>
          <w:color w:val="000000" w:themeColor="text1"/>
          <w:sz w:val="20"/>
          <w:szCs w:val="20"/>
          <w:lang w:val="da-DK"/>
        </w:rPr>
        <w:t xml:space="preserve">også </w:t>
      </w:r>
      <w:r w:rsidR="003A5D1A" w:rsidRPr="009B7DA5">
        <w:rPr>
          <w:rFonts w:ascii="Times New Roman" w:hAnsi="Times New Roman" w:cs="Times New Roman"/>
          <w:color w:val="000000" w:themeColor="text1"/>
          <w:sz w:val="20"/>
          <w:szCs w:val="20"/>
          <w:lang w:val="da-DK"/>
        </w:rPr>
        <w:t>være 500 kr. værd.</w:t>
      </w:r>
    </w:p>
    <w:p w14:paraId="46B97272" w14:textId="7325631B" w:rsidR="003A5D1A" w:rsidRDefault="009B7DA5" w:rsidP="009B7DA5">
      <w:pPr>
        <w:pStyle w:val="Listeafsnit"/>
        <w:numPr>
          <w:ilvl w:val="0"/>
          <w:numId w:val="12"/>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Danske v</w:t>
      </w:r>
      <w:r w:rsidR="003A5D1A" w:rsidRPr="009B7DA5">
        <w:rPr>
          <w:rFonts w:ascii="Times New Roman" w:hAnsi="Times New Roman" w:cs="Times New Roman"/>
          <w:color w:val="000000" w:themeColor="text1"/>
          <w:sz w:val="20"/>
          <w:szCs w:val="20"/>
          <w:lang w:val="da-DK"/>
        </w:rPr>
        <w:t>irksomheder</w:t>
      </w:r>
      <w:r w:rsidRPr="009B7DA5">
        <w:rPr>
          <w:rFonts w:ascii="Times New Roman" w:hAnsi="Times New Roman" w:cs="Times New Roman"/>
          <w:color w:val="000000" w:themeColor="text1"/>
          <w:sz w:val="20"/>
          <w:szCs w:val="20"/>
          <w:lang w:val="da-DK"/>
        </w:rPr>
        <w:t>,</w:t>
      </w:r>
      <w:r w:rsidR="003A5D1A" w:rsidRPr="009B7DA5">
        <w:rPr>
          <w:rFonts w:ascii="Times New Roman" w:hAnsi="Times New Roman" w:cs="Times New Roman"/>
          <w:color w:val="000000" w:themeColor="text1"/>
          <w:sz w:val="20"/>
          <w:szCs w:val="20"/>
          <w:lang w:val="da-DK"/>
        </w:rPr>
        <w:t xml:space="preserve"> som ha</w:t>
      </w:r>
      <w:r w:rsidR="00622AE7" w:rsidRPr="009B7DA5">
        <w:rPr>
          <w:rFonts w:ascii="Times New Roman" w:hAnsi="Times New Roman" w:cs="Times New Roman"/>
          <w:color w:val="000000" w:themeColor="text1"/>
          <w:sz w:val="20"/>
          <w:szCs w:val="20"/>
          <w:lang w:val="da-DK"/>
        </w:rPr>
        <w:t>r</w:t>
      </w:r>
      <w:r w:rsidR="003A5D1A" w:rsidRPr="009B7DA5">
        <w:rPr>
          <w:rFonts w:ascii="Times New Roman" w:hAnsi="Times New Roman" w:cs="Times New Roman"/>
          <w:color w:val="000000" w:themeColor="text1"/>
          <w:sz w:val="20"/>
          <w:szCs w:val="20"/>
          <w:lang w:val="da-DK"/>
        </w:rPr>
        <w:t xml:space="preserve"> optaget lån i </w:t>
      </w:r>
      <w:r w:rsidR="00A01E3D" w:rsidRPr="009B7DA5">
        <w:rPr>
          <w:rFonts w:ascii="Times New Roman" w:hAnsi="Times New Roman" w:cs="Times New Roman"/>
          <w:color w:val="000000" w:themeColor="text1"/>
          <w:sz w:val="20"/>
          <w:szCs w:val="20"/>
          <w:lang w:val="da-DK"/>
        </w:rPr>
        <w:t>amerikanske dollars</w:t>
      </w:r>
      <w:r w:rsidRPr="009B7DA5">
        <w:rPr>
          <w:rFonts w:ascii="Times New Roman" w:hAnsi="Times New Roman" w:cs="Times New Roman"/>
          <w:color w:val="000000" w:themeColor="text1"/>
          <w:sz w:val="20"/>
          <w:szCs w:val="20"/>
          <w:lang w:val="da-DK"/>
        </w:rPr>
        <w:t>,</w:t>
      </w:r>
      <w:r w:rsidR="00A01E3D" w:rsidRPr="009B7DA5">
        <w:rPr>
          <w:rFonts w:ascii="Times New Roman" w:hAnsi="Times New Roman" w:cs="Times New Roman"/>
          <w:color w:val="000000" w:themeColor="text1"/>
          <w:sz w:val="20"/>
          <w:szCs w:val="20"/>
          <w:lang w:val="da-DK"/>
        </w:rPr>
        <w:t xml:space="preserve"> påføres </w:t>
      </w:r>
      <w:r w:rsidRPr="009B7DA5">
        <w:rPr>
          <w:rFonts w:ascii="Times New Roman" w:hAnsi="Times New Roman" w:cs="Times New Roman"/>
          <w:color w:val="000000" w:themeColor="text1"/>
          <w:sz w:val="20"/>
          <w:szCs w:val="20"/>
          <w:lang w:val="da-DK"/>
        </w:rPr>
        <w:t xml:space="preserve">et </w:t>
      </w:r>
      <w:r w:rsidR="00A01E3D" w:rsidRPr="009B7DA5">
        <w:rPr>
          <w:rFonts w:ascii="Times New Roman" w:hAnsi="Times New Roman" w:cs="Times New Roman"/>
          <w:color w:val="000000" w:themeColor="text1"/>
          <w:sz w:val="20"/>
          <w:szCs w:val="20"/>
          <w:lang w:val="da-DK"/>
        </w:rPr>
        <w:t>tab</w:t>
      </w:r>
      <w:r w:rsidR="0009767F">
        <w:rPr>
          <w:rFonts w:ascii="Times New Roman" w:hAnsi="Times New Roman" w:cs="Times New Roman"/>
          <w:color w:val="000000" w:themeColor="text1"/>
          <w:sz w:val="20"/>
          <w:szCs w:val="20"/>
          <w:lang w:val="da-DK"/>
        </w:rPr>
        <w:t xml:space="preserve">, når den danske </w:t>
      </w:r>
      <w:r w:rsidRPr="009B7DA5">
        <w:rPr>
          <w:rFonts w:ascii="Times New Roman" w:hAnsi="Times New Roman" w:cs="Times New Roman"/>
          <w:color w:val="000000" w:themeColor="text1"/>
          <w:sz w:val="20"/>
          <w:szCs w:val="20"/>
          <w:lang w:val="da-DK"/>
        </w:rPr>
        <w:t>krone</w:t>
      </w:r>
      <w:r w:rsidR="0009767F">
        <w:rPr>
          <w:rFonts w:ascii="Times New Roman" w:hAnsi="Times New Roman" w:cs="Times New Roman"/>
          <w:color w:val="000000" w:themeColor="text1"/>
          <w:sz w:val="20"/>
          <w:szCs w:val="20"/>
          <w:lang w:val="da-DK"/>
        </w:rPr>
        <w:t xml:space="preserve"> taber værdi i forhold til dollaren</w:t>
      </w:r>
      <w:r w:rsidR="00A01E3D" w:rsidRPr="009B7DA5">
        <w:rPr>
          <w:rFonts w:ascii="Times New Roman" w:hAnsi="Times New Roman" w:cs="Times New Roman"/>
          <w:color w:val="000000" w:themeColor="text1"/>
          <w:sz w:val="20"/>
          <w:szCs w:val="20"/>
          <w:lang w:val="da-DK"/>
        </w:rPr>
        <w:t>.</w:t>
      </w:r>
    </w:p>
    <w:p w14:paraId="3CFEC696" w14:textId="77777777" w:rsidR="00BD6CBD" w:rsidRDefault="00BD6CBD" w:rsidP="00AD00DC">
      <w:pPr>
        <w:spacing w:after="0"/>
        <w:rPr>
          <w:rFonts w:ascii="Times New Roman" w:hAnsi="Times New Roman" w:cs="Times New Roman"/>
          <w:b/>
          <w:color w:val="000000" w:themeColor="text1"/>
          <w:sz w:val="20"/>
          <w:szCs w:val="20"/>
          <w:lang w:val="da-DK"/>
        </w:rPr>
      </w:pPr>
    </w:p>
    <w:p w14:paraId="5B62B66B" w14:textId="77777777" w:rsidR="004D4879" w:rsidRDefault="004D4879" w:rsidP="00AD00DC">
      <w:pPr>
        <w:spacing w:after="0"/>
        <w:rPr>
          <w:rFonts w:ascii="Times New Roman" w:hAnsi="Times New Roman" w:cs="Times New Roman"/>
          <w:b/>
          <w:color w:val="000000" w:themeColor="text1"/>
          <w:sz w:val="20"/>
          <w:szCs w:val="20"/>
          <w:lang w:val="da-DK"/>
        </w:rPr>
      </w:pPr>
    </w:p>
    <w:p w14:paraId="7C57F60C" w14:textId="4DC7C0D1" w:rsidR="00AD00DC" w:rsidRDefault="002407FB" w:rsidP="00AD00DC">
      <w:pPr>
        <w:spacing w:after="0"/>
        <w:rPr>
          <w:rFonts w:ascii="Times New Roman" w:hAnsi="Times New Roman" w:cs="Times New Roman"/>
          <w:b/>
          <w:color w:val="000000" w:themeColor="text1"/>
          <w:sz w:val="20"/>
          <w:szCs w:val="20"/>
          <w:lang w:val="da-DK"/>
        </w:rPr>
      </w:pPr>
      <w:r w:rsidRPr="002407FB">
        <w:rPr>
          <w:rFonts w:ascii="Times New Roman" w:hAnsi="Times New Roman" w:cs="Times New Roman"/>
          <w:b/>
          <w:color w:val="000000" w:themeColor="text1"/>
          <w:sz w:val="20"/>
          <w:szCs w:val="20"/>
          <w:lang w:val="da-DK"/>
        </w:rPr>
        <w:t>5.13</w:t>
      </w:r>
    </w:p>
    <w:p w14:paraId="033CFD01" w14:textId="1889A83A" w:rsidR="002407FB" w:rsidRPr="00755443" w:rsidRDefault="00AB2D48" w:rsidP="00AD00DC">
      <w:pPr>
        <w:spacing w:after="0"/>
        <w:rPr>
          <w:rFonts w:ascii="Times New Roman" w:hAnsi="Times New Roman" w:cs="Times New Roman"/>
          <w:color w:val="000000" w:themeColor="text1"/>
          <w:sz w:val="20"/>
          <w:szCs w:val="20"/>
          <w:lang w:val="da-DK"/>
        </w:rPr>
      </w:pPr>
      <w:r w:rsidRPr="00755443">
        <w:rPr>
          <w:rFonts w:ascii="Times New Roman" w:hAnsi="Times New Roman" w:cs="Times New Roman"/>
          <w:color w:val="000000" w:themeColor="text1"/>
          <w:sz w:val="20"/>
          <w:szCs w:val="20"/>
          <w:lang w:val="da-DK"/>
        </w:rPr>
        <w:t xml:space="preserve">Redegør for de forskellige motiver til </w:t>
      </w:r>
      <w:r w:rsidR="00755443">
        <w:rPr>
          <w:rFonts w:ascii="Times New Roman" w:hAnsi="Times New Roman" w:cs="Times New Roman"/>
          <w:color w:val="000000" w:themeColor="text1"/>
          <w:sz w:val="20"/>
          <w:szCs w:val="20"/>
          <w:lang w:val="da-DK"/>
        </w:rPr>
        <w:t>holde</w:t>
      </w:r>
      <w:r w:rsidRPr="00755443">
        <w:rPr>
          <w:rFonts w:ascii="Times New Roman" w:hAnsi="Times New Roman" w:cs="Times New Roman"/>
          <w:color w:val="000000" w:themeColor="text1"/>
          <w:sz w:val="20"/>
          <w:szCs w:val="20"/>
          <w:lang w:val="da-DK"/>
        </w:rPr>
        <w:t xml:space="preserve"> kontant</w:t>
      </w:r>
      <w:r w:rsidR="00755443">
        <w:rPr>
          <w:rFonts w:ascii="Times New Roman" w:hAnsi="Times New Roman" w:cs="Times New Roman"/>
          <w:color w:val="000000" w:themeColor="text1"/>
          <w:sz w:val="20"/>
          <w:szCs w:val="20"/>
          <w:lang w:val="da-DK"/>
        </w:rPr>
        <w:t>er</w:t>
      </w:r>
      <w:r w:rsidRPr="00755443">
        <w:rPr>
          <w:rFonts w:ascii="Times New Roman" w:hAnsi="Times New Roman" w:cs="Times New Roman"/>
          <w:color w:val="000000" w:themeColor="text1"/>
          <w:sz w:val="20"/>
          <w:szCs w:val="20"/>
          <w:lang w:val="da-DK"/>
        </w:rPr>
        <w:t xml:space="preserve"> og inddrag i denne forbindelse nedenstående t</w:t>
      </w:r>
      <w:r w:rsidR="00755443" w:rsidRPr="00755443">
        <w:rPr>
          <w:rFonts w:ascii="Times New Roman" w:hAnsi="Times New Roman" w:cs="Times New Roman"/>
          <w:color w:val="000000" w:themeColor="text1"/>
          <w:sz w:val="20"/>
          <w:szCs w:val="20"/>
          <w:lang w:val="da-DK"/>
        </w:rPr>
        <w:t>abel, der viser seddelomløbet i Danmark i 2017</w:t>
      </w:r>
    </w:p>
    <w:p w14:paraId="4126B185" w14:textId="047514EF" w:rsidR="002407FB" w:rsidRDefault="002407FB" w:rsidP="00AD00DC">
      <w:pPr>
        <w:spacing w:after="0"/>
        <w:rPr>
          <w:rFonts w:ascii="Times New Roman" w:hAnsi="Times New Roman" w:cs="Times New Roman"/>
          <w:b/>
          <w:color w:val="000000" w:themeColor="text1"/>
          <w:sz w:val="20"/>
          <w:szCs w:val="20"/>
          <w:lang w:val="da-DK"/>
        </w:rPr>
      </w:pPr>
    </w:p>
    <w:p w14:paraId="31C929C8" w14:textId="0D54A2D2" w:rsidR="00BD6CBD" w:rsidRPr="00BD6CBD" w:rsidRDefault="00BD6CBD" w:rsidP="00AD00DC">
      <w:pPr>
        <w:spacing w:after="0"/>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Seddelomløbet i 2017</w:t>
      </w:r>
    </w:p>
    <w:tbl>
      <w:tblPr>
        <w:tblStyle w:val="Tabel-Gitter"/>
        <w:tblW w:w="8671" w:type="dxa"/>
        <w:tblLook w:val="04A0" w:firstRow="1" w:lastRow="0" w:firstColumn="1" w:lastColumn="0" w:noHBand="0" w:noVBand="1"/>
      </w:tblPr>
      <w:tblGrid>
        <w:gridCol w:w="1951"/>
        <w:gridCol w:w="1120"/>
        <w:gridCol w:w="1120"/>
        <w:gridCol w:w="1120"/>
        <w:gridCol w:w="1120"/>
        <w:gridCol w:w="1120"/>
        <w:gridCol w:w="1120"/>
      </w:tblGrid>
      <w:tr w:rsidR="00BD6CBD" w14:paraId="34496FD6" w14:textId="77777777" w:rsidTr="00BD6CBD">
        <w:tc>
          <w:tcPr>
            <w:tcW w:w="1951" w:type="dxa"/>
          </w:tcPr>
          <w:p w14:paraId="176A1192" w14:textId="02F6F882" w:rsidR="00BD6CBD" w:rsidRDefault="00BD6CBD" w:rsidP="00AD00DC">
            <w:pP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Fordelt på den enkelte seddelværdi</w:t>
            </w:r>
          </w:p>
        </w:tc>
        <w:tc>
          <w:tcPr>
            <w:tcW w:w="1120" w:type="dxa"/>
          </w:tcPr>
          <w:p w14:paraId="3F14826B" w14:textId="532BB9EB"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1000 kr.</w:t>
            </w:r>
          </w:p>
        </w:tc>
        <w:tc>
          <w:tcPr>
            <w:tcW w:w="1120" w:type="dxa"/>
          </w:tcPr>
          <w:p w14:paraId="724A327E" w14:textId="3B72E659"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500 kr.</w:t>
            </w:r>
          </w:p>
        </w:tc>
        <w:tc>
          <w:tcPr>
            <w:tcW w:w="1120" w:type="dxa"/>
          </w:tcPr>
          <w:p w14:paraId="61149AA1" w14:textId="14FD59A0"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200 kr.</w:t>
            </w:r>
          </w:p>
        </w:tc>
        <w:tc>
          <w:tcPr>
            <w:tcW w:w="1120" w:type="dxa"/>
          </w:tcPr>
          <w:p w14:paraId="2676AD7E" w14:textId="1C89FA38"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100 kr.</w:t>
            </w:r>
          </w:p>
        </w:tc>
        <w:tc>
          <w:tcPr>
            <w:tcW w:w="1120" w:type="dxa"/>
          </w:tcPr>
          <w:p w14:paraId="2E796B16" w14:textId="75F1DC08"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50 kr.</w:t>
            </w:r>
          </w:p>
        </w:tc>
        <w:tc>
          <w:tcPr>
            <w:tcW w:w="1120" w:type="dxa"/>
          </w:tcPr>
          <w:p w14:paraId="3FB8EC2E" w14:textId="68030014" w:rsidR="00BD6CBD" w:rsidRDefault="00BD6CBD" w:rsidP="00BD6CBD">
            <w:pPr>
              <w:jc w:val="center"/>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I alt</w:t>
            </w:r>
          </w:p>
        </w:tc>
      </w:tr>
      <w:tr w:rsidR="00BD6CBD" w14:paraId="48B062C0" w14:textId="77777777" w:rsidTr="00BD6CBD">
        <w:tc>
          <w:tcPr>
            <w:tcW w:w="1951" w:type="dxa"/>
          </w:tcPr>
          <w:p w14:paraId="00543764" w14:textId="57A838C4" w:rsidR="00BD6CBD" w:rsidRPr="00BD6CBD" w:rsidRDefault="00BD6CBD" w:rsidP="00AD00DC">
            <w:pP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Mio. kr.</w:t>
            </w:r>
          </w:p>
        </w:tc>
        <w:tc>
          <w:tcPr>
            <w:tcW w:w="1120" w:type="dxa"/>
          </w:tcPr>
          <w:p w14:paraId="68E9F0E8" w14:textId="7B10784A"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33.714</w:t>
            </w:r>
          </w:p>
        </w:tc>
        <w:tc>
          <w:tcPr>
            <w:tcW w:w="1120" w:type="dxa"/>
          </w:tcPr>
          <w:p w14:paraId="7E0B5905" w14:textId="41FBBAF3"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18.502</w:t>
            </w:r>
          </w:p>
        </w:tc>
        <w:tc>
          <w:tcPr>
            <w:tcW w:w="1120" w:type="dxa"/>
          </w:tcPr>
          <w:p w14:paraId="4BE768A4" w14:textId="2AE81B9F"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6.382</w:t>
            </w:r>
          </w:p>
        </w:tc>
        <w:tc>
          <w:tcPr>
            <w:tcW w:w="1120" w:type="dxa"/>
          </w:tcPr>
          <w:p w14:paraId="0CE738A5" w14:textId="2CDEAF25"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4.478</w:t>
            </w:r>
          </w:p>
        </w:tc>
        <w:tc>
          <w:tcPr>
            <w:tcW w:w="1120" w:type="dxa"/>
          </w:tcPr>
          <w:p w14:paraId="4A46EEC9" w14:textId="1CB85E36"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1.248</w:t>
            </w:r>
          </w:p>
        </w:tc>
        <w:tc>
          <w:tcPr>
            <w:tcW w:w="1120" w:type="dxa"/>
          </w:tcPr>
          <w:p w14:paraId="37C62CC5" w14:textId="5626DD86" w:rsidR="00BD6CBD" w:rsidRPr="00BD6CBD" w:rsidRDefault="00BD6CBD" w:rsidP="00BD6CBD">
            <w:pPr>
              <w:jc w:val="center"/>
              <w:rPr>
                <w:rFonts w:ascii="Times New Roman" w:hAnsi="Times New Roman" w:cs="Times New Roman"/>
                <w:color w:val="000000" w:themeColor="text1"/>
                <w:sz w:val="20"/>
                <w:szCs w:val="20"/>
                <w:lang w:val="da-DK"/>
              </w:rPr>
            </w:pPr>
            <w:r w:rsidRPr="00BD6CBD">
              <w:rPr>
                <w:rFonts w:ascii="Times New Roman" w:hAnsi="Times New Roman" w:cs="Times New Roman"/>
                <w:color w:val="000000" w:themeColor="text1"/>
                <w:sz w:val="20"/>
                <w:szCs w:val="20"/>
                <w:lang w:val="da-DK"/>
              </w:rPr>
              <w:t>64.964</w:t>
            </w:r>
          </w:p>
        </w:tc>
      </w:tr>
    </w:tbl>
    <w:p w14:paraId="775B7B96" w14:textId="77777777" w:rsidR="00BD6CBD" w:rsidRDefault="00BD6CBD" w:rsidP="00AD00DC">
      <w:pPr>
        <w:spacing w:after="0"/>
        <w:rPr>
          <w:rFonts w:ascii="Times New Roman" w:hAnsi="Times New Roman" w:cs="Times New Roman"/>
          <w:b/>
          <w:color w:val="000000" w:themeColor="text1"/>
          <w:sz w:val="20"/>
          <w:szCs w:val="20"/>
          <w:lang w:val="da-DK"/>
        </w:rPr>
      </w:pPr>
    </w:p>
    <w:p w14:paraId="74FD1FE1" w14:textId="77777777" w:rsidR="004D4879" w:rsidRDefault="004D4879" w:rsidP="00AD00DC">
      <w:pPr>
        <w:spacing w:after="0"/>
        <w:rPr>
          <w:rFonts w:ascii="Times New Roman" w:hAnsi="Times New Roman" w:cs="Times New Roman"/>
          <w:b/>
          <w:color w:val="000000" w:themeColor="text1"/>
          <w:sz w:val="20"/>
          <w:szCs w:val="20"/>
          <w:lang w:val="da-DK"/>
        </w:rPr>
      </w:pPr>
    </w:p>
    <w:p w14:paraId="53686B76" w14:textId="46725618" w:rsidR="00A01E3D" w:rsidRPr="009B7DA5" w:rsidRDefault="00A01E3D"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5.1</w:t>
      </w:r>
      <w:r w:rsidR="00293D6B">
        <w:rPr>
          <w:rFonts w:ascii="Times New Roman" w:hAnsi="Times New Roman" w:cs="Times New Roman"/>
          <w:b/>
          <w:color w:val="000000" w:themeColor="text1"/>
          <w:sz w:val="20"/>
          <w:szCs w:val="20"/>
          <w:lang w:val="da-DK"/>
        </w:rPr>
        <w:t>4</w:t>
      </w:r>
    </w:p>
    <w:p w14:paraId="67EF64DB" w14:textId="11219EB3" w:rsidR="00A01E3D" w:rsidRPr="009B7DA5" w:rsidRDefault="00A01E3D"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Hvilke faktorer bestemmer henholdsvis udbud og efterspørgsel efter </w:t>
      </w:r>
      <w:r w:rsidR="009B7DA5" w:rsidRPr="009B7DA5">
        <w:rPr>
          <w:rFonts w:ascii="Times New Roman" w:hAnsi="Times New Roman" w:cs="Times New Roman"/>
          <w:color w:val="000000" w:themeColor="text1"/>
          <w:sz w:val="20"/>
          <w:szCs w:val="20"/>
          <w:lang w:val="da-DK"/>
        </w:rPr>
        <w:t xml:space="preserve">en </w:t>
      </w:r>
      <w:r w:rsidRPr="009B7DA5">
        <w:rPr>
          <w:rFonts w:ascii="Times New Roman" w:hAnsi="Times New Roman" w:cs="Times New Roman"/>
          <w:color w:val="000000" w:themeColor="text1"/>
          <w:sz w:val="20"/>
          <w:szCs w:val="20"/>
          <w:lang w:val="da-DK"/>
        </w:rPr>
        <w:t>valuta?</w:t>
      </w:r>
    </w:p>
    <w:p w14:paraId="39716112" w14:textId="77777777" w:rsidR="00EA4907" w:rsidRDefault="00EA4907" w:rsidP="00EA4907">
      <w:pPr>
        <w:spacing w:after="0"/>
        <w:rPr>
          <w:rFonts w:ascii="Times New Roman" w:hAnsi="Times New Roman" w:cs="Times New Roman"/>
          <w:b/>
          <w:color w:val="000000" w:themeColor="text1"/>
          <w:sz w:val="20"/>
          <w:szCs w:val="20"/>
          <w:lang w:val="da-DK"/>
        </w:rPr>
      </w:pPr>
    </w:p>
    <w:p w14:paraId="2DBCE1FE" w14:textId="77777777" w:rsidR="004D4879" w:rsidRPr="009B7DA5" w:rsidRDefault="004D4879" w:rsidP="00EA4907">
      <w:pPr>
        <w:spacing w:after="0"/>
        <w:rPr>
          <w:rFonts w:ascii="Times New Roman" w:hAnsi="Times New Roman" w:cs="Times New Roman"/>
          <w:b/>
          <w:color w:val="000000" w:themeColor="text1"/>
          <w:sz w:val="20"/>
          <w:szCs w:val="20"/>
          <w:lang w:val="da-DK"/>
        </w:rPr>
      </w:pPr>
    </w:p>
    <w:p w14:paraId="65FD2157" w14:textId="42AD423F" w:rsidR="00A01E3D" w:rsidRPr="009B7DA5" w:rsidRDefault="00A01E3D"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5.1</w:t>
      </w:r>
      <w:r w:rsidR="00293D6B">
        <w:rPr>
          <w:rFonts w:ascii="Times New Roman" w:hAnsi="Times New Roman" w:cs="Times New Roman"/>
          <w:b/>
          <w:color w:val="000000" w:themeColor="text1"/>
          <w:sz w:val="20"/>
          <w:szCs w:val="20"/>
          <w:lang w:val="da-DK"/>
        </w:rPr>
        <w:t>5</w:t>
      </w:r>
    </w:p>
    <w:p w14:paraId="3AF4E324" w14:textId="51E4865E" w:rsidR="00A01E3D" w:rsidRPr="009B7DA5" w:rsidRDefault="009B7DA5" w:rsidP="00EA4907">
      <w:p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Forestil dig</w:t>
      </w:r>
      <w:r w:rsidR="00A01E3D" w:rsidRPr="009B7DA5">
        <w:rPr>
          <w:rFonts w:ascii="Times New Roman" w:hAnsi="Times New Roman" w:cs="Times New Roman"/>
          <w:color w:val="000000" w:themeColor="text1"/>
          <w:sz w:val="20"/>
          <w:szCs w:val="20"/>
          <w:lang w:val="da-DK"/>
        </w:rPr>
        <w:t xml:space="preserve">, at </w:t>
      </w:r>
      <w:r>
        <w:rPr>
          <w:rFonts w:ascii="Times New Roman" w:hAnsi="Times New Roman" w:cs="Times New Roman"/>
          <w:color w:val="000000" w:themeColor="text1"/>
          <w:sz w:val="20"/>
          <w:szCs w:val="20"/>
          <w:lang w:val="da-DK"/>
        </w:rPr>
        <w:t xml:space="preserve">mange </w:t>
      </w:r>
      <w:r w:rsidR="00A01E3D" w:rsidRPr="009B7DA5">
        <w:rPr>
          <w:rFonts w:ascii="Times New Roman" w:hAnsi="Times New Roman" w:cs="Times New Roman"/>
          <w:color w:val="000000" w:themeColor="text1"/>
          <w:sz w:val="20"/>
          <w:szCs w:val="20"/>
          <w:lang w:val="da-DK"/>
        </w:rPr>
        <w:t>danske virksomheder, der pleje</w:t>
      </w:r>
      <w:r>
        <w:rPr>
          <w:rFonts w:ascii="Times New Roman" w:hAnsi="Times New Roman" w:cs="Times New Roman"/>
          <w:color w:val="000000" w:themeColor="text1"/>
          <w:sz w:val="20"/>
          <w:szCs w:val="20"/>
          <w:lang w:val="da-DK"/>
        </w:rPr>
        <w:t>de</w:t>
      </w:r>
      <w:r w:rsidR="00A01E3D" w:rsidRPr="009B7DA5">
        <w:rPr>
          <w:rFonts w:ascii="Times New Roman" w:hAnsi="Times New Roman" w:cs="Times New Roman"/>
          <w:color w:val="000000" w:themeColor="text1"/>
          <w:sz w:val="20"/>
          <w:szCs w:val="20"/>
          <w:lang w:val="da-DK"/>
        </w:rPr>
        <w:t xml:space="preserve"> at købe </w:t>
      </w:r>
      <w:r>
        <w:rPr>
          <w:rFonts w:ascii="Times New Roman" w:hAnsi="Times New Roman" w:cs="Times New Roman"/>
          <w:color w:val="000000" w:themeColor="text1"/>
          <w:sz w:val="20"/>
          <w:szCs w:val="20"/>
          <w:lang w:val="da-DK"/>
        </w:rPr>
        <w:t xml:space="preserve">deres </w:t>
      </w:r>
      <w:r w:rsidR="00A01E3D" w:rsidRPr="009B7DA5">
        <w:rPr>
          <w:rFonts w:ascii="Times New Roman" w:hAnsi="Times New Roman" w:cs="Times New Roman"/>
          <w:color w:val="000000" w:themeColor="text1"/>
          <w:sz w:val="20"/>
          <w:szCs w:val="20"/>
          <w:lang w:val="da-DK"/>
        </w:rPr>
        <w:t>råvarer i UK, begynder at købe råvarerne i Tyskland i stedet</w:t>
      </w:r>
      <w:r w:rsidR="00EA4907" w:rsidRPr="009B7DA5">
        <w:rPr>
          <w:rFonts w:ascii="Times New Roman" w:hAnsi="Times New Roman" w:cs="Times New Roman"/>
          <w:color w:val="000000" w:themeColor="text1"/>
          <w:sz w:val="20"/>
          <w:szCs w:val="20"/>
          <w:lang w:val="da-DK"/>
        </w:rPr>
        <w:t>.</w:t>
      </w:r>
    </w:p>
    <w:p w14:paraId="5FBAC26E" w14:textId="77777777" w:rsidR="00A01E3D" w:rsidRPr="009B7DA5" w:rsidRDefault="00A01E3D" w:rsidP="00EA4907">
      <w:pPr>
        <w:pStyle w:val="Listeafsnit"/>
        <w:numPr>
          <w:ilvl w:val="0"/>
          <w:numId w:val="6"/>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lastRenderedPageBreak/>
        <w:t>Hvad kan være forklaring på denne omlægning af købene?</w:t>
      </w:r>
    </w:p>
    <w:p w14:paraId="1AC1D473" w14:textId="385089EC" w:rsidR="00A01E3D" w:rsidRPr="009B7DA5" w:rsidRDefault="00A01E3D" w:rsidP="00EA4907">
      <w:pPr>
        <w:pStyle w:val="Listeafsnit"/>
        <w:numPr>
          <w:ilvl w:val="0"/>
          <w:numId w:val="6"/>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Hvilken virkning vil det have for </w:t>
      </w:r>
      <w:r w:rsidR="009B7DA5">
        <w:rPr>
          <w:rFonts w:ascii="Times New Roman" w:hAnsi="Times New Roman" w:cs="Times New Roman"/>
          <w:color w:val="000000" w:themeColor="text1"/>
          <w:sz w:val="20"/>
          <w:szCs w:val="20"/>
          <w:lang w:val="da-DK"/>
        </w:rPr>
        <w:t>økonomien i henholdsvis</w:t>
      </w:r>
      <w:r w:rsidRPr="009B7DA5">
        <w:rPr>
          <w:rFonts w:ascii="Times New Roman" w:hAnsi="Times New Roman" w:cs="Times New Roman"/>
          <w:color w:val="000000" w:themeColor="text1"/>
          <w:sz w:val="20"/>
          <w:szCs w:val="20"/>
          <w:lang w:val="da-DK"/>
        </w:rPr>
        <w:t xml:space="preserve"> i UK og Tyskland?</w:t>
      </w:r>
    </w:p>
    <w:p w14:paraId="18FFF521" w14:textId="77777777" w:rsidR="00A01E3D" w:rsidRPr="009B7DA5" w:rsidRDefault="00A01E3D" w:rsidP="00EA4907">
      <w:pPr>
        <w:pStyle w:val="Listeafsnit"/>
        <w:numPr>
          <w:ilvl w:val="0"/>
          <w:numId w:val="6"/>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Kan det have en indvirkning på den danske produktion?</w:t>
      </w:r>
    </w:p>
    <w:p w14:paraId="42368C4A" w14:textId="77777777" w:rsidR="004D4879" w:rsidRDefault="004D4879" w:rsidP="00EA4907">
      <w:pPr>
        <w:spacing w:after="0"/>
        <w:rPr>
          <w:rFonts w:ascii="Times New Roman" w:hAnsi="Times New Roman" w:cs="Times New Roman"/>
          <w:b/>
          <w:color w:val="000000" w:themeColor="text1"/>
          <w:sz w:val="20"/>
          <w:szCs w:val="20"/>
          <w:lang w:val="da-DK"/>
        </w:rPr>
      </w:pPr>
    </w:p>
    <w:p w14:paraId="41B0C382" w14:textId="77777777" w:rsidR="004D4879" w:rsidRPr="009B7DA5" w:rsidRDefault="004D4879" w:rsidP="00EA4907">
      <w:pPr>
        <w:spacing w:after="0"/>
        <w:rPr>
          <w:rFonts w:ascii="Times New Roman" w:hAnsi="Times New Roman" w:cs="Times New Roman"/>
          <w:b/>
          <w:color w:val="000000" w:themeColor="text1"/>
          <w:sz w:val="20"/>
          <w:szCs w:val="20"/>
          <w:lang w:val="da-DK"/>
        </w:rPr>
      </w:pPr>
    </w:p>
    <w:p w14:paraId="2E6BB30E" w14:textId="3FE14932" w:rsidR="00A01E3D" w:rsidRPr="009B7DA5" w:rsidRDefault="00865DE1" w:rsidP="00EA4907">
      <w:pPr>
        <w:spacing w:after="0"/>
        <w:rPr>
          <w:rFonts w:ascii="Times New Roman" w:hAnsi="Times New Roman" w:cs="Times New Roman"/>
          <w:b/>
          <w:color w:val="000000" w:themeColor="text1"/>
          <w:sz w:val="20"/>
          <w:szCs w:val="20"/>
          <w:lang w:val="da-DK"/>
        </w:rPr>
      </w:pPr>
      <w:r w:rsidRPr="009B7DA5">
        <w:rPr>
          <w:rFonts w:ascii="Times New Roman" w:hAnsi="Times New Roman" w:cs="Times New Roman"/>
          <w:b/>
          <w:color w:val="000000" w:themeColor="text1"/>
          <w:sz w:val="20"/>
          <w:szCs w:val="20"/>
          <w:lang w:val="da-DK"/>
        </w:rPr>
        <w:t>5.1</w:t>
      </w:r>
      <w:r w:rsidR="00293D6B">
        <w:rPr>
          <w:rFonts w:ascii="Times New Roman" w:hAnsi="Times New Roman" w:cs="Times New Roman"/>
          <w:b/>
          <w:color w:val="000000" w:themeColor="text1"/>
          <w:sz w:val="20"/>
          <w:szCs w:val="20"/>
          <w:lang w:val="da-DK"/>
        </w:rPr>
        <w:t>6</w:t>
      </w:r>
    </w:p>
    <w:p w14:paraId="74C0DF2C" w14:textId="477972C7" w:rsidR="00865DE1" w:rsidRPr="009B7DA5" w:rsidRDefault="00865DE1"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Redegør for</w:t>
      </w:r>
      <w:r w:rsidR="009B7DA5">
        <w:rPr>
          <w:rFonts w:ascii="Times New Roman" w:hAnsi="Times New Roman" w:cs="Times New Roman"/>
          <w:color w:val="000000" w:themeColor="text1"/>
          <w:sz w:val="20"/>
          <w:szCs w:val="20"/>
          <w:lang w:val="da-DK"/>
        </w:rPr>
        <w:t>,</w:t>
      </w:r>
      <w:r w:rsidRPr="009B7DA5">
        <w:rPr>
          <w:rFonts w:ascii="Times New Roman" w:hAnsi="Times New Roman" w:cs="Times New Roman"/>
          <w:color w:val="000000" w:themeColor="text1"/>
          <w:sz w:val="20"/>
          <w:szCs w:val="20"/>
          <w:lang w:val="da-DK"/>
        </w:rPr>
        <w:t xml:space="preserve"> hvilke faktorer der er bestemmende for renten.</w:t>
      </w:r>
    </w:p>
    <w:p w14:paraId="6D0B95D2" w14:textId="77777777" w:rsidR="00EA4907" w:rsidRDefault="00EA4907" w:rsidP="00EA4907">
      <w:pPr>
        <w:spacing w:after="0"/>
        <w:rPr>
          <w:rFonts w:ascii="Times New Roman" w:hAnsi="Times New Roman" w:cs="Times New Roman"/>
          <w:color w:val="000000" w:themeColor="text1"/>
          <w:sz w:val="20"/>
          <w:szCs w:val="20"/>
          <w:lang w:val="da-DK"/>
        </w:rPr>
      </w:pPr>
    </w:p>
    <w:p w14:paraId="354916C9" w14:textId="77777777" w:rsidR="004D4879" w:rsidRDefault="004D4879" w:rsidP="00EA4907">
      <w:pPr>
        <w:spacing w:after="0"/>
        <w:rPr>
          <w:rFonts w:ascii="Times New Roman" w:hAnsi="Times New Roman" w:cs="Times New Roman"/>
          <w:color w:val="000000" w:themeColor="text1"/>
          <w:sz w:val="20"/>
          <w:szCs w:val="20"/>
          <w:lang w:val="da-DK"/>
        </w:rPr>
      </w:pPr>
    </w:p>
    <w:p w14:paraId="0DC73892" w14:textId="6A1D6242" w:rsidR="0009767F" w:rsidRPr="0009767F" w:rsidRDefault="0009767F" w:rsidP="00EA4907">
      <w:pPr>
        <w:spacing w:after="0"/>
        <w:rPr>
          <w:rFonts w:ascii="Times New Roman" w:hAnsi="Times New Roman" w:cs="Times New Roman"/>
          <w:b/>
          <w:color w:val="000000" w:themeColor="text1"/>
          <w:sz w:val="20"/>
          <w:szCs w:val="20"/>
          <w:lang w:val="da-DK"/>
        </w:rPr>
      </w:pPr>
      <w:r w:rsidRPr="0009767F">
        <w:rPr>
          <w:rFonts w:ascii="Times New Roman" w:hAnsi="Times New Roman" w:cs="Times New Roman"/>
          <w:b/>
          <w:color w:val="000000" w:themeColor="text1"/>
          <w:sz w:val="20"/>
          <w:szCs w:val="20"/>
          <w:lang w:val="da-DK"/>
        </w:rPr>
        <w:t>5.1</w:t>
      </w:r>
      <w:r w:rsidR="00AD00DC">
        <w:rPr>
          <w:rFonts w:ascii="Times New Roman" w:hAnsi="Times New Roman" w:cs="Times New Roman"/>
          <w:b/>
          <w:color w:val="000000" w:themeColor="text1"/>
          <w:sz w:val="20"/>
          <w:szCs w:val="20"/>
          <w:lang w:val="da-DK"/>
        </w:rPr>
        <w:t>7</w:t>
      </w:r>
    </w:p>
    <w:p w14:paraId="31EEB313" w14:textId="77777777" w:rsidR="00EC415F" w:rsidRDefault="00593E52" w:rsidP="00EA4907">
      <w:p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 xml:space="preserve">Iflg. boliga.dk </w:t>
      </w:r>
      <w:r>
        <w:rPr>
          <w:rFonts w:ascii="Times New Roman" w:hAnsi="Times New Roman" w:cs="Times New Roman"/>
          <w:color w:val="000000" w:themeColor="text1"/>
          <w:sz w:val="20"/>
          <w:szCs w:val="20"/>
          <w:lang w:val="da-DK"/>
        </w:rPr>
        <w:t>kostede</w:t>
      </w:r>
      <w:r w:rsidRPr="00593E52">
        <w:rPr>
          <w:rFonts w:ascii="Times New Roman" w:hAnsi="Times New Roman" w:cs="Times New Roman"/>
          <w:color w:val="000000" w:themeColor="text1"/>
          <w:sz w:val="20"/>
          <w:szCs w:val="20"/>
          <w:lang w:val="da-DK"/>
        </w:rPr>
        <w:t xml:space="preserve"> en lejlighed på Frederiksberg og i Gentofte henholdsvis 44.</w:t>
      </w:r>
      <w:r w:rsidR="00AC6038">
        <w:rPr>
          <w:rFonts w:ascii="Times New Roman" w:hAnsi="Times New Roman" w:cs="Times New Roman"/>
          <w:color w:val="000000" w:themeColor="text1"/>
          <w:sz w:val="20"/>
          <w:szCs w:val="20"/>
          <w:lang w:val="da-DK"/>
        </w:rPr>
        <w:t>463</w:t>
      </w:r>
      <w:r w:rsidRPr="00593E52">
        <w:rPr>
          <w:rFonts w:ascii="Times New Roman" w:hAnsi="Times New Roman" w:cs="Times New Roman"/>
          <w:color w:val="000000" w:themeColor="text1"/>
          <w:sz w:val="20"/>
          <w:szCs w:val="20"/>
          <w:lang w:val="da-DK"/>
        </w:rPr>
        <w:t xml:space="preserve"> kr. og </w:t>
      </w:r>
      <w:r w:rsidR="00AC6038">
        <w:rPr>
          <w:rFonts w:ascii="Times New Roman" w:hAnsi="Times New Roman" w:cs="Times New Roman"/>
          <w:color w:val="000000" w:themeColor="text1"/>
          <w:sz w:val="20"/>
          <w:szCs w:val="20"/>
          <w:lang w:val="da-DK"/>
        </w:rPr>
        <w:t>38.308</w:t>
      </w:r>
      <w:r w:rsidRPr="00593E52">
        <w:rPr>
          <w:rFonts w:ascii="Times New Roman" w:hAnsi="Times New Roman" w:cs="Times New Roman"/>
          <w:color w:val="000000" w:themeColor="text1"/>
          <w:sz w:val="20"/>
          <w:szCs w:val="20"/>
          <w:lang w:val="da-DK"/>
        </w:rPr>
        <w:t xml:space="preserve"> kr. pr. m2. </w:t>
      </w:r>
      <w:r>
        <w:rPr>
          <w:rFonts w:ascii="Times New Roman" w:hAnsi="Times New Roman" w:cs="Times New Roman"/>
          <w:color w:val="000000" w:themeColor="text1"/>
          <w:sz w:val="20"/>
          <w:szCs w:val="20"/>
          <w:lang w:val="da-DK"/>
        </w:rPr>
        <w:t>i foråret 201</w:t>
      </w:r>
      <w:r w:rsidR="009F507B">
        <w:rPr>
          <w:rFonts w:ascii="Times New Roman" w:hAnsi="Times New Roman" w:cs="Times New Roman"/>
          <w:color w:val="000000" w:themeColor="text1"/>
          <w:sz w:val="20"/>
          <w:szCs w:val="20"/>
          <w:lang w:val="da-DK"/>
        </w:rPr>
        <w:t>8</w:t>
      </w:r>
      <w:r>
        <w:rPr>
          <w:rFonts w:ascii="Times New Roman" w:hAnsi="Times New Roman" w:cs="Times New Roman"/>
          <w:color w:val="000000" w:themeColor="text1"/>
          <w:sz w:val="20"/>
          <w:szCs w:val="20"/>
          <w:lang w:val="da-DK"/>
        </w:rPr>
        <w:t xml:space="preserve">. </w:t>
      </w:r>
    </w:p>
    <w:p w14:paraId="026E51F0" w14:textId="2D58B300" w:rsidR="0009767F" w:rsidRPr="00EC415F" w:rsidRDefault="0009767F" w:rsidP="00EC415F">
      <w:pPr>
        <w:pStyle w:val="Listeafsnit"/>
        <w:numPr>
          <w:ilvl w:val="0"/>
          <w:numId w:val="22"/>
        </w:numPr>
        <w:spacing w:after="0"/>
        <w:rPr>
          <w:rFonts w:ascii="Times New Roman" w:hAnsi="Times New Roman" w:cs="Times New Roman"/>
          <w:color w:val="000000" w:themeColor="text1"/>
          <w:sz w:val="20"/>
          <w:szCs w:val="20"/>
          <w:lang w:val="da-DK"/>
        </w:rPr>
      </w:pPr>
      <w:r w:rsidRPr="00EC415F">
        <w:rPr>
          <w:rFonts w:ascii="Times New Roman" w:hAnsi="Times New Roman" w:cs="Times New Roman"/>
          <w:color w:val="000000" w:themeColor="text1"/>
          <w:sz w:val="20"/>
          <w:szCs w:val="20"/>
          <w:lang w:val="da-DK"/>
        </w:rPr>
        <w:t xml:space="preserve">Hvad må man forvente, der vil ske med priserne, hvis renten </w:t>
      </w:r>
      <w:r w:rsidR="0082621E" w:rsidRPr="00EC415F">
        <w:rPr>
          <w:rFonts w:ascii="Times New Roman" w:hAnsi="Times New Roman" w:cs="Times New Roman"/>
          <w:color w:val="000000" w:themeColor="text1"/>
          <w:sz w:val="20"/>
          <w:szCs w:val="20"/>
          <w:lang w:val="da-DK"/>
        </w:rPr>
        <w:t>stiger</w:t>
      </w:r>
      <w:r w:rsidRPr="00EC415F">
        <w:rPr>
          <w:rFonts w:ascii="Times New Roman" w:hAnsi="Times New Roman" w:cs="Times New Roman"/>
          <w:color w:val="000000" w:themeColor="text1"/>
          <w:sz w:val="20"/>
          <w:szCs w:val="20"/>
          <w:lang w:val="da-DK"/>
        </w:rPr>
        <w:t>? Diskutér konsekvenserne af dit svar.</w:t>
      </w:r>
    </w:p>
    <w:p w14:paraId="3ED7CB56" w14:textId="54AE47E6" w:rsidR="00EC415F" w:rsidRPr="00EC415F" w:rsidRDefault="00EC415F" w:rsidP="00EC415F">
      <w:pPr>
        <w:pStyle w:val="Listeafsnit"/>
        <w:numPr>
          <w:ilvl w:val="0"/>
          <w:numId w:val="22"/>
        </w:numPr>
        <w:spacing w:after="0"/>
        <w:rPr>
          <w:rFonts w:ascii="Times New Roman" w:hAnsi="Times New Roman" w:cs="Times New Roman"/>
          <w:color w:val="000000" w:themeColor="text1"/>
          <w:sz w:val="20"/>
          <w:szCs w:val="20"/>
          <w:lang w:val="da-DK"/>
        </w:rPr>
      </w:pPr>
      <w:r w:rsidRPr="00EC415F">
        <w:rPr>
          <w:rFonts w:ascii="Times New Roman" w:hAnsi="Times New Roman" w:cs="Times New Roman"/>
          <w:color w:val="000000" w:themeColor="text1"/>
          <w:sz w:val="20"/>
          <w:szCs w:val="20"/>
          <w:lang w:val="da-DK"/>
        </w:rPr>
        <w:t>Undersøg via boliga.dk hvilke prisændringer der eventuelt har fundet sted, Forklar svaret.</w:t>
      </w:r>
    </w:p>
    <w:p w14:paraId="5D4A162A" w14:textId="77777777" w:rsidR="0009767F" w:rsidRDefault="0009767F" w:rsidP="00EA4907">
      <w:pPr>
        <w:spacing w:after="0"/>
        <w:rPr>
          <w:rFonts w:ascii="Times New Roman" w:hAnsi="Times New Roman" w:cs="Times New Roman"/>
          <w:color w:val="000000" w:themeColor="text1"/>
          <w:sz w:val="20"/>
          <w:szCs w:val="20"/>
          <w:lang w:val="da-DK"/>
        </w:rPr>
      </w:pPr>
    </w:p>
    <w:p w14:paraId="4FFBFE93" w14:textId="77777777" w:rsidR="004D4879" w:rsidRPr="0009767F" w:rsidRDefault="004D4879" w:rsidP="00EA4907">
      <w:pPr>
        <w:spacing w:after="0"/>
        <w:rPr>
          <w:rFonts w:ascii="Times New Roman" w:hAnsi="Times New Roman" w:cs="Times New Roman"/>
          <w:color w:val="000000" w:themeColor="text1"/>
          <w:sz w:val="20"/>
          <w:szCs w:val="20"/>
          <w:lang w:val="da-DK"/>
        </w:rPr>
      </w:pPr>
    </w:p>
    <w:p w14:paraId="263E98F1" w14:textId="78C6AAFC" w:rsidR="007A1026" w:rsidRPr="009B7DA5" w:rsidRDefault="007A1026" w:rsidP="00EA4907">
      <w:pPr>
        <w:spacing w:after="0"/>
        <w:rPr>
          <w:rFonts w:ascii="Times New Roman" w:hAnsi="Times New Roman" w:cs="Times New Roman"/>
          <w:color w:val="000000" w:themeColor="text1"/>
          <w:sz w:val="20"/>
          <w:szCs w:val="20"/>
          <w:lang w:val="da-DK"/>
        </w:rPr>
      </w:pPr>
      <w:r w:rsidRPr="009B7DA5">
        <w:rPr>
          <w:rFonts w:ascii="Times New Roman" w:hAnsi="Times New Roman" w:cs="Times New Roman"/>
          <w:b/>
          <w:color w:val="000000" w:themeColor="text1"/>
          <w:sz w:val="20"/>
          <w:szCs w:val="20"/>
          <w:lang w:val="da-DK"/>
        </w:rPr>
        <w:t>5.1</w:t>
      </w:r>
      <w:r w:rsidR="00AD00DC">
        <w:rPr>
          <w:rFonts w:ascii="Times New Roman" w:hAnsi="Times New Roman" w:cs="Times New Roman"/>
          <w:b/>
          <w:color w:val="000000" w:themeColor="text1"/>
          <w:sz w:val="20"/>
          <w:szCs w:val="20"/>
          <w:lang w:val="da-DK"/>
        </w:rPr>
        <w:t>8</w:t>
      </w:r>
    </w:p>
    <w:p w14:paraId="7E4CF663" w14:textId="7C200096" w:rsidR="00593E52" w:rsidRPr="00593E52" w:rsidRDefault="00D427B5" w:rsidP="00593E52">
      <w:p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Flere taler</w:t>
      </w:r>
      <w:r w:rsidR="00593E52" w:rsidRPr="00593E52">
        <w:rPr>
          <w:rFonts w:ascii="Times New Roman" w:hAnsi="Times New Roman" w:cs="Times New Roman"/>
          <w:color w:val="000000" w:themeColor="text1"/>
          <w:sz w:val="20"/>
          <w:szCs w:val="20"/>
          <w:lang w:val="da-DK"/>
        </w:rPr>
        <w:t xml:space="preserve"> om en igangværende </w:t>
      </w:r>
      <w:r w:rsidR="0010659E">
        <w:rPr>
          <w:rFonts w:ascii="Times New Roman" w:hAnsi="Times New Roman" w:cs="Times New Roman"/>
          <w:color w:val="000000" w:themeColor="text1"/>
          <w:sz w:val="20"/>
          <w:szCs w:val="20"/>
          <w:lang w:val="da-DK"/>
        </w:rPr>
        <w:t>”</w:t>
      </w:r>
      <w:r w:rsidR="00593E52" w:rsidRPr="00593E52">
        <w:rPr>
          <w:rFonts w:ascii="Times New Roman" w:hAnsi="Times New Roman" w:cs="Times New Roman"/>
          <w:color w:val="000000" w:themeColor="text1"/>
          <w:sz w:val="20"/>
          <w:szCs w:val="20"/>
          <w:lang w:val="da-DK"/>
        </w:rPr>
        <w:t>boligboble</w:t>
      </w:r>
      <w:r w:rsidR="0010659E">
        <w:rPr>
          <w:rFonts w:ascii="Times New Roman" w:hAnsi="Times New Roman" w:cs="Times New Roman"/>
          <w:color w:val="000000" w:themeColor="text1"/>
          <w:sz w:val="20"/>
          <w:szCs w:val="20"/>
          <w:lang w:val="da-DK"/>
        </w:rPr>
        <w:t>”</w:t>
      </w:r>
      <w:r w:rsidR="00593E52" w:rsidRPr="00593E52">
        <w:rPr>
          <w:rFonts w:ascii="Times New Roman" w:hAnsi="Times New Roman" w:cs="Times New Roman"/>
          <w:color w:val="000000" w:themeColor="text1"/>
          <w:sz w:val="20"/>
          <w:szCs w:val="20"/>
          <w:lang w:val="da-DK"/>
        </w:rPr>
        <w:t xml:space="preserve"> i bl.a. København, hvor man løbende ser betragtelige stigninger i priserne på boliger. </w:t>
      </w:r>
    </w:p>
    <w:p w14:paraId="6995373D" w14:textId="2FFB4A75" w:rsidR="00593E52" w:rsidRPr="00593E52" w:rsidRDefault="00593E52" w:rsidP="00593E52">
      <w:pPr>
        <w:pStyle w:val="Listeafsnit"/>
        <w:numPr>
          <w:ilvl w:val="0"/>
          <w:numId w:val="20"/>
        </w:num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Hvad kan de samfundsøkonomiske konsekvenser være ved en boligboble</w:t>
      </w:r>
      <w:r w:rsidR="0010659E">
        <w:rPr>
          <w:rFonts w:ascii="Times New Roman" w:hAnsi="Times New Roman" w:cs="Times New Roman"/>
          <w:color w:val="000000" w:themeColor="text1"/>
          <w:sz w:val="20"/>
          <w:szCs w:val="20"/>
          <w:lang w:val="da-DK"/>
        </w:rPr>
        <w:t>?</w:t>
      </w:r>
    </w:p>
    <w:p w14:paraId="2079078C" w14:textId="170A66C8" w:rsidR="00593E52" w:rsidRDefault="00593E52" w:rsidP="00593E52">
      <w:pPr>
        <w:pStyle w:val="Listeafsnit"/>
        <w:numPr>
          <w:ilvl w:val="0"/>
          <w:numId w:val="20"/>
        </w:numPr>
        <w:spacing w:after="0"/>
        <w:rPr>
          <w:rFonts w:ascii="Times New Roman" w:hAnsi="Times New Roman" w:cs="Times New Roman"/>
          <w:color w:val="000000" w:themeColor="text1"/>
          <w:sz w:val="20"/>
          <w:szCs w:val="20"/>
          <w:lang w:val="da-DK"/>
        </w:rPr>
      </w:pPr>
      <w:r w:rsidRPr="00593E52">
        <w:rPr>
          <w:rFonts w:ascii="Times New Roman" w:hAnsi="Times New Roman" w:cs="Times New Roman"/>
          <w:color w:val="000000" w:themeColor="text1"/>
          <w:sz w:val="20"/>
          <w:szCs w:val="20"/>
          <w:lang w:val="da-DK"/>
        </w:rPr>
        <w:t>Hvad kan lovgiverne gøre, hvis de ønsker at afværge en boligboble?</w:t>
      </w:r>
    </w:p>
    <w:p w14:paraId="0515BD22" w14:textId="0D8F924F" w:rsidR="00EC415F" w:rsidRDefault="00EC415F" w:rsidP="00593E52">
      <w:pPr>
        <w:pStyle w:val="Listeafsnit"/>
        <w:numPr>
          <w:ilvl w:val="0"/>
          <w:numId w:val="20"/>
        </w:num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Jævnfør med spørgsmål 5.17 og konstatèr, om udviklingen er fortsat.</w:t>
      </w:r>
    </w:p>
    <w:p w14:paraId="56640D17" w14:textId="77777777" w:rsidR="00BD6CBD" w:rsidRDefault="00BD6CBD" w:rsidP="00EA4907">
      <w:pPr>
        <w:spacing w:after="0"/>
        <w:rPr>
          <w:rFonts w:ascii="Times New Roman" w:hAnsi="Times New Roman" w:cs="Times New Roman"/>
          <w:b/>
          <w:color w:val="000000" w:themeColor="text1"/>
          <w:sz w:val="20"/>
          <w:szCs w:val="20"/>
          <w:lang w:val="da-DK"/>
        </w:rPr>
      </w:pPr>
    </w:p>
    <w:p w14:paraId="11623A47" w14:textId="77777777" w:rsidR="004D4879" w:rsidRDefault="004D4879" w:rsidP="00EA4907">
      <w:pPr>
        <w:spacing w:after="0"/>
        <w:rPr>
          <w:rFonts w:ascii="Times New Roman" w:hAnsi="Times New Roman" w:cs="Times New Roman"/>
          <w:b/>
          <w:color w:val="000000" w:themeColor="text1"/>
          <w:sz w:val="20"/>
          <w:szCs w:val="20"/>
          <w:lang w:val="da-DK"/>
        </w:rPr>
      </w:pPr>
    </w:p>
    <w:p w14:paraId="76720D00" w14:textId="48094EA1" w:rsidR="00593E52" w:rsidRPr="00593E52" w:rsidRDefault="00593E52" w:rsidP="00EA4907">
      <w:pPr>
        <w:spacing w:after="0"/>
        <w:rPr>
          <w:rFonts w:ascii="Times New Roman" w:hAnsi="Times New Roman" w:cs="Times New Roman"/>
          <w:b/>
          <w:color w:val="000000" w:themeColor="text1"/>
          <w:sz w:val="20"/>
          <w:szCs w:val="20"/>
          <w:lang w:val="da-DK"/>
        </w:rPr>
      </w:pPr>
      <w:r w:rsidRPr="00593E52">
        <w:rPr>
          <w:rFonts w:ascii="Times New Roman" w:hAnsi="Times New Roman" w:cs="Times New Roman"/>
          <w:b/>
          <w:color w:val="000000" w:themeColor="text1"/>
          <w:sz w:val="20"/>
          <w:szCs w:val="20"/>
          <w:lang w:val="da-DK"/>
        </w:rPr>
        <w:t>5.1</w:t>
      </w:r>
      <w:r w:rsidR="00AD00DC">
        <w:rPr>
          <w:rFonts w:ascii="Times New Roman" w:hAnsi="Times New Roman" w:cs="Times New Roman"/>
          <w:b/>
          <w:color w:val="000000" w:themeColor="text1"/>
          <w:sz w:val="20"/>
          <w:szCs w:val="20"/>
          <w:lang w:val="da-DK"/>
        </w:rPr>
        <w:t>9</w:t>
      </w:r>
    </w:p>
    <w:p w14:paraId="55CFA63A" w14:textId="1268A014" w:rsidR="003054D2" w:rsidRPr="009B7DA5" w:rsidRDefault="004031FB" w:rsidP="00EA4907">
      <w:p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Du</w:t>
      </w:r>
      <w:r w:rsidR="009B7DA5">
        <w:rPr>
          <w:rFonts w:ascii="Times New Roman" w:hAnsi="Times New Roman" w:cs="Times New Roman"/>
          <w:color w:val="000000" w:themeColor="text1"/>
          <w:sz w:val="20"/>
          <w:szCs w:val="20"/>
          <w:lang w:val="da-DK"/>
        </w:rPr>
        <w:t xml:space="preserve"> bedes </w:t>
      </w:r>
      <w:r w:rsidR="00E52A0F">
        <w:rPr>
          <w:rFonts w:ascii="Times New Roman" w:hAnsi="Times New Roman" w:cs="Times New Roman"/>
          <w:color w:val="000000" w:themeColor="text1"/>
          <w:sz w:val="20"/>
          <w:szCs w:val="20"/>
          <w:lang w:val="da-DK"/>
        </w:rPr>
        <w:t>redegøre</w:t>
      </w:r>
      <w:r w:rsidR="009B7DA5">
        <w:rPr>
          <w:rFonts w:ascii="Times New Roman" w:hAnsi="Times New Roman" w:cs="Times New Roman"/>
          <w:color w:val="000000" w:themeColor="text1"/>
          <w:sz w:val="20"/>
          <w:szCs w:val="20"/>
          <w:lang w:val="da-DK"/>
        </w:rPr>
        <w:t xml:space="preserve"> for</w:t>
      </w:r>
      <w:r w:rsidR="00A12001">
        <w:rPr>
          <w:rFonts w:ascii="Times New Roman" w:hAnsi="Times New Roman" w:cs="Times New Roman"/>
          <w:color w:val="000000" w:themeColor="text1"/>
          <w:sz w:val="20"/>
          <w:szCs w:val="20"/>
          <w:lang w:val="da-DK"/>
        </w:rPr>
        <w:t xml:space="preserve"> </w:t>
      </w:r>
      <w:r w:rsidR="007A1026" w:rsidRPr="009B7DA5">
        <w:rPr>
          <w:rFonts w:ascii="Times New Roman" w:hAnsi="Times New Roman" w:cs="Times New Roman"/>
          <w:color w:val="000000" w:themeColor="text1"/>
          <w:sz w:val="20"/>
          <w:szCs w:val="20"/>
          <w:lang w:val="da-DK"/>
        </w:rPr>
        <w:t>både fordele og ulemper ved:</w:t>
      </w:r>
    </w:p>
    <w:p w14:paraId="62214CB6" w14:textId="1CAD37CB" w:rsidR="007A1026" w:rsidRPr="009B7DA5" w:rsidRDefault="007A1026" w:rsidP="009B7DA5">
      <w:pPr>
        <w:pStyle w:val="Listeafsnit"/>
        <w:numPr>
          <w:ilvl w:val="0"/>
          <w:numId w:val="13"/>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Fri valutakursflydning</w:t>
      </w:r>
    </w:p>
    <w:p w14:paraId="3288C759" w14:textId="634406ED" w:rsidR="007A1026" w:rsidRPr="009B7DA5" w:rsidRDefault="007A1026" w:rsidP="009B7DA5">
      <w:pPr>
        <w:pStyle w:val="Listeafsnit"/>
        <w:numPr>
          <w:ilvl w:val="0"/>
          <w:numId w:val="13"/>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Styret valutakursflydning</w:t>
      </w:r>
    </w:p>
    <w:p w14:paraId="44546405" w14:textId="70A3080D" w:rsidR="007A1026" w:rsidRPr="009B7DA5" w:rsidRDefault="007A1026" w:rsidP="009B7DA5">
      <w:pPr>
        <w:pStyle w:val="Listeafsnit"/>
        <w:numPr>
          <w:ilvl w:val="0"/>
          <w:numId w:val="13"/>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Fastkurssystem</w:t>
      </w:r>
    </w:p>
    <w:p w14:paraId="748DE09D" w14:textId="626282A9" w:rsidR="007A1026" w:rsidRDefault="007A1026" w:rsidP="009B7DA5">
      <w:pPr>
        <w:pStyle w:val="Listeafsnit"/>
        <w:numPr>
          <w:ilvl w:val="0"/>
          <w:numId w:val="13"/>
        </w:numPr>
        <w:spacing w:after="0"/>
        <w:rPr>
          <w:rFonts w:ascii="Times New Roman" w:hAnsi="Times New Roman" w:cs="Times New Roman"/>
          <w:color w:val="000000" w:themeColor="text1"/>
          <w:sz w:val="20"/>
          <w:szCs w:val="20"/>
          <w:lang w:val="da-DK"/>
        </w:rPr>
      </w:pPr>
      <w:r w:rsidRPr="009B7DA5">
        <w:rPr>
          <w:rFonts w:ascii="Times New Roman" w:hAnsi="Times New Roman" w:cs="Times New Roman"/>
          <w:color w:val="000000" w:themeColor="text1"/>
          <w:sz w:val="20"/>
          <w:szCs w:val="20"/>
          <w:lang w:val="da-DK"/>
        </w:rPr>
        <w:t xml:space="preserve">Valutaunion </w:t>
      </w:r>
    </w:p>
    <w:p w14:paraId="60CFDF85" w14:textId="77777777" w:rsidR="00BD6CBD" w:rsidRDefault="00BD6CBD" w:rsidP="00BD6CBD">
      <w:pPr>
        <w:spacing w:after="0"/>
        <w:rPr>
          <w:rFonts w:ascii="Times New Roman" w:hAnsi="Times New Roman" w:cs="Times New Roman"/>
          <w:color w:val="000000" w:themeColor="text1"/>
          <w:sz w:val="20"/>
          <w:szCs w:val="20"/>
          <w:lang w:val="da-DK"/>
        </w:rPr>
      </w:pPr>
    </w:p>
    <w:p w14:paraId="0062665A" w14:textId="77777777" w:rsidR="004D4879" w:rsidRDefault="004D4879" w:rsidP="00BD6CBD">
      <w:pPr>
        <w:spacing w:after="0"/>
        <w:rPr>
          <w:rFonts w:ascii="Times New Roman" w:hAnsi="Times New Roman" w:cs="Times New Roman"/>
          <w:color w:val="000000" w:themeColor="text1"/>
          <w:sz w:val="20"/>
          <w:szCs w:val="20"/>
          <w:lang w:val="da-DK"/>
        </w:rPr>
      </w:pPr>
    </w:p>
    <w:p w14:paraId="18701C93" w14:textId="77777777" w:rsidR="008A4C00" w:rsidRDefault="008A4C00">
      <w:pPr>
        <w:rPr>
          <w:rFonts w:ascii="Times New Roman" w:hAnsi="Times New Roman" w:cs="Times New Roman"/>
          <w:b/>
          <w:sz w:val="20"/>
          <w:szCs w:val="20"/>
          <w:lang w:val="da-DK"/>
        </w:rPr>
      </w:pPr>
      <w:r>
        <w:rPr>
          <w:rFonts w:ascii="Times New Roman" w:hAnsi="Times New Roman" w:cs="Times New Roman"/>
          <w:b/>
          <w:sz w:val="20"/>
          <w:szCs w:val="20"/>
          <w:lang w:val="da-DK"/>
        </w:rPr>
        <w:br w:type="page"/>
      </w:r>
    </w:p>
    <w:p w14:paraId="62AA6EAD" w14:textId="3A0978E8" w:rsidR="00A22658" w:rsidRDefault="00832A16" w:rsidP="00AD0EF1">
      <w:pPr>
        <w:spacing w:after="0"/>
        <w:rPr>
          <w:rFonts w:ascii="Times New Roman" w:hAnsi="Times New Roman" w:cs="Times New Roman"/>
          <w:b/>
          <w:sz w:val="20"/>
          <w:szCs w:val="20"/>
          <w:lang w:val="da-DK"/>
        </w:rPr>
      </w:pPr>
      <w:r w:rsidRPr="00A12001">
        <w:rPr>
          <w:rFonts w:ascii="Times New Roman" w:hAnsi="Times New Roman" w:cs="Times New Roman"/>
          <w:b/>
          <w:sz w:val="20"/>
          <w:szCs w:val="20"/>
          <w:lang w:val="da-DK"/>
        </w:rPr>
        <w:lastRenderedPageBreak/>
        <w:t>5.</w:t>
      </w:r>
      <w:r w:rsidR="00AD00DC">
        <w:rPr>
          <w:rFonts w:ascii="Times New Roman" w:hAnsi="Times New Roman" w:cs="Times New Roman"/>
          <w:b/>
          <w:sz w:val="20"/>
          <w:szCs w:val="20"/>
          <w:lang w:val="da-DK"/>
        </w:rPr>
        <w:t>20</w:t>
      </w:r>
    </w:p>
    <w:p w14:paraId="2A0BD99B" w14:textId="7BEC36F0" w:rsidR="00CA58A4" w:rsidRDefault="009B3F42" w:rsidP="007B3D5B">
      <w:pPr>
        <w:spacing w:after="0"/>
        <w:rPr>
          <w:rFonts w:ascii="Times New Roman" w:hAnsi="Times New Roman" w:cs="Times New Roman"/>
          <w:sz w:val="20"/>
          <w:szCs w:val="20"/>
          <w:lang w:val="da-DK"/>
        </w:rPr>
      </w:pPr>
      <w:r>
        <w:rPr>
          <w:rFonts w:ascii="Times New Roman" w:hAnsi="Times New Roman" w:cs="Times New Roman"/>
          <w:sz w:val="20"/>
          <w:szCs w:val="20"/>
          <w:lang w:val="da-DK"/>
        </w:rPr>
        <w:t>Giv med udgangspunkt i nedenstående artikl</w:t>
      </w:r>
      <w:r w:rsidR="008A4C00">
        <w:rPr>
          <w:rFonts w:ascii="Times New Roman" w:hAnsi="Times New Roman" w:cs="Times New Roman"/>
          <w:sz w:val="20"/>
          <w:szCs w:val="20"/>
          <w:lang w:val="da-DK"/>
        </w:rPr>
        <w:t>er</w:t>
      </w:r>
      <w:r>
        <w:rPr>
          <w:rFonts w:ascii="Times New Roman" w:hAnsi="Times New Roman" w:cs="Times New Roman"/>
          <w:sz w:val="20"/>
          <w:szCs w:val="20"/>
          <w:lang w:val="da-DK"/>
        </w:rPr>
        <w:t xml:space="preserve"> </w:t>
      </w:r>
      <w:r w:rsidR="008A4C00">
        <w:rPr>
          <w:rFonts w:ascii="Times New Roman" w:hAnsi="Times New Roman" w:cs="Times New Roman"/>
          <w:sz w:val="20"/>
          <w:szCs w:val="20"/>
          <w:lang w:val="da-DK"/>
        </w:rPr>
        <w:t xml:space="preserve">en vurdering af </w:t>
      </w:r>
      <w:r>
        <w:rPr>
          <w:rFonts w:ascii="Times New Roman" w:hAnsi="Times New Roman" w:cs="Times New Roman"/>
          <w:sz w:val="20"/>
          <w:szCs w:val="20"/>
          <w:lang w:val="da-DK"/>
        </w:rPr>
        <w:t>risikoen for inflation</w:t>
      </w:r>
      <w:r w:rsidR="008A4C00">
        <w:rPr>
          <w:rFonts w:ascii="Times New Roman" w:hAnsi="Times New Roman" w:cs="Times New Roman"/>
          <w:sz w:val="20"/>
          <w:szCs w:val="20"/>
          <w:lang w:val="da-DK"/>
        </w:rPr>
        <w:t>.</w:t>
      </w:r>
    </w:p>
    <w:p w14:paraId="30048FB2" w14:textId="77777777" w:rsidR="008A4C00" w:rsidRDefault="008A4C00" w:rsidP="007B3D5B">
      <w:pPr>
        <w:spacing w:after="0"/>
        <w:rPr>
          <w:rFonts w:ascii="Times New Roman" w:hAnsi="Times New Roman" w:cs="Times New Roman"/>
          <w:sz w:val="20"/>
          <w:szCs w:val="20"/>
          <w:lang w:val="da-DK"/>
        </w:rPr>
      </w:pPr>
    </w:p>
    <w:p w14:paraId="72EDA41D" w14:textId="77777777" w:rsidR="00247DB2" w:rsidRPr="008A4C00" w:rsidRDefault="00247DB2"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b/>
          <w:bCs/>
          <w:sz w:val="20"/>
          <w:szCs w:val="20"/>
          <w:lang w:eastAsia="da-DK"/>
        </w:rPr>
        <w:t>The likelihood of deflation</w:t>
      </w:r>
    </w:p>
    <w:p w14:paraId="21BDCF5E" w14:textId="57EAC7A3" w:rsidR="00247DB2" w:rsidRDefault="00247DB2"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A probability distribution has an upper and a lower tail. To evaluate the likelihood of the upper tail happening, the Fed shows us the probability that inflation will exceed 3%. This is Figure 1. To evaluate the likelihood of the lower tail happening, the Fed shows us the likelihood that inflation over the next five years will average below -1%, i.e. deflation over the next five years. Currently, market participants view this as unlikely. Their assign a 5% probability to this event, as Figure 2 shows.</w:t>
      </w:r>
    </w:p>
    <w:p w14:paraId="64F9956C" w14:textId="77777777" w:rsidR="008A4C00" w:rsidRPr="008A4C00" w:rsidRDefault="008A4C00" w:rsidP="008A4C00">
      <w:pPr>
        <w:spacing w:after="0" w:line="240" w:lineRule="auto"/>
        <w:ind w:left="709"/>
        <w:rPr>
          <w:rFonts w:ascii="Times New Roman" w:eastAsia="Times New Roman" w:hAnsi="Times New Roman" w:cs="Times New Roman"/>
          <w:sz w:val="20"/>
          <w:szCs w:val="20"/>
          <w:lang w:eastAsia="da-DK"/>
        </w:rPr>
      </w:pPr>
    </w:p>
    <w:p w14:paraId="09C9131B" w14:textId="084519B7" w:rsidR="00247DB2" w:rsidRPr="008A4C00" w:rsidRDefault="00247DB2"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noProof/>
          <w:sz w:val="20"/>
          <w:szCs w:val="20"/>
          <w:lang w:val="da-DK" w:eastAsia="da-DK"/>
        </w:rPr>
        <w:drawing>
          <wp:inline distT="0" distB="0" distL="0" distR="0" wp14:anchorId="73A097D4" wp14:editId="53A167CE">
            <wp:extent cx="6120130" cy="2254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254250"/>
                    </a:xfrm>
                    <a:prstGeom prst="rect">
                      <a:avLst/>
                    </a:prstGeom>
                    <a:noFill/>
                    <a:ln>
                      <a:noFill/>
                    </a:ln>
                  </pic:spPr>
                </pic:pic>
              </a:graphicData>
            </a:graphic>
          </wp:inline>
        </w:drawing>
      </w:r>
      <w:r w:rsidRPr="008A4C00">
        <w:rPr>
          <w:rFonts w:ascii="Times New Roman" w:eastAsia="Times New Roman" w:hAnsi="Times New Roman" w:cs="Times New Roman"/>
          <w:i/>
          <w:iCs/>
          <w:sz w:val="20"/>
          <w:szCs w:val="20"/>
          <w:lang w:eastAsia="da-DK"/>
        </w:rPr>
        <w:t xml:space="preserve">Figure 2. Market-based probability that US inflation will average below -1% over the next five years. </w:t>
      </w:r>
      <w:r w:rsidRPr="008A4C00">
        <w:rPr>
          <w:rFonts w:ascii="Times New Roman" w:eastAsia="Times New Roman" w:hAnsi="Times New Roman" w:cs="Times New Roman"/>
          <w:sz w:val="20"/>
          <w:szCs w:val="20"/>
          <w:lang w:eastAsia="da-DK"/>
        </w:rPr>
        <w:br/>
      </w:r>
      <w:r w:rsidRPr="008A4C00">
        <w:rPr>
          <w:rFonts w:ascii="Times New Roman" w:eastAsia="Times New Roman" w:hAnsi="Times New Roman" w:cs="Times New Roman"/>
          <w:i/>
          <w:iCs/>
          <w:sz w:val="20"/>
          <w:szCs w:val="20"/>
          <w:lang w:eastAsia="da-DK"/>
        </w:rPr>
        <w:t>Source: Fed Minneapolis</w:t>
      </w:r>
      <w:r w:rsidRPr="008A4C00">
        <w:rPr>
          <w:rFonts w:ascii="Times New Roman" w:eastAsia="Times New Roman" w:hAnsi="Times New Roman" w:cs="Times New Roman"/>
          <w:sz w:val="20"/>
          <w:szCs w:val="20"/>
          <w:lang w:eastAsia="da-DK"/>
        </w:rPr>
        <w:t xml:space="preserve"> </w:t>
      </w:r>
    </w:p>
    <w:p w14:paraId="22349FFF" w14:textId="77777777" w:rsidR="008A4C00" w:rsidRDefault="008A4C00" w:rsidP="008A4C00">
      <w:pPr>
        <w:spacing w:after="0" w:line="240" w:lineRule="auto"/>
        <w:ind w:left="709"/>
        <w:rPr>
          <w:rFonts w:ascii="Times New Roman" w:eastAsia="Times New Roman" w:hAnsi="Times New Roman" w:cs="Times New Roman"/>
          <w:sz w:val="20"/>
          <w:szCs w:val="20"/>
          <w:lang w:eastAsia="da-DK"/>
        </w:rPr>
      </w:pPr>
    </w:p>
    <w:p w14:paraId="01EEB101" w14:textId="72181D9A" w:rsidR="00247DB2" w:rsidRPr="008A4C00" w:rsidRDefault="00247DB2"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Figure 2 also shows how afraid markets were at the peak of the </w:t>
      </w:r>
      <w:proofErr w:type="spellStart"/>
      <w:r w:rsidRPr="008A4C00">
        <w:rPr>
          <w:rFonts w:ascii="Times New Roman" w:eastAsia="Times New Roman" w:hAnsi="Times New Roman" w:cs="Times New Roman"/>
          <w:sz w:val="20"/>
          <w:szCs w:val="20"/>
          <w:lang w:eastAsia="da-DK"/>
        </w:rPr>
        <w:t>coronacrisis</w:t>
      </w:r>
      <w:proofErr w:type="spellEnd"/>
      <w:r w:rsidRPr="008A4C00">
        <w:rPr>
          <w:rFonts w:ascii="Times New Roman" w:eastAsia="Times New Roman" w:hAnsi="Times New Roman" w:cs="Times New Roman"/>
          <w:sz w:val="20"/>
          <w:szCs w:val="20"/>
          <w:lang w:eastAsia="da-DK"/>
        </w:rPr>
        <w:t xml:space="preserve"> in March last year. Market participants feared that the economy would run into serious setbacks, and inflation would suffer. In March 2020, markets believed that it was more likely than not those prices would be falling over the next five years. The implied probability of -1% inflation over the next five years was as high as 85%! Since then, the assessed likelihood that we will see deflation has come down. </w:t>
      </w:r>
    </w:p>
    <w:p w14:paraId="3D091DB3" w14:textId="77777777" w:rsidR="00247DB2" w:rsidRPr="008A4C00" w:rsidRDefault="00247DB2"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In total, today, markets believe there is a substantial probability that we will see high inflation in the future and a low probability of deflation</w:t>
      </w:r>
    </w:p>
    <w:p w14:paraId="7F6F2CF1" w14:textId="77777777" w:rsidR="008A4C00" w:rsidRDefault="008A4C00" w:rsidP="008A4C00">
      <w:pPr>
        <w:spacing w:after="0"/>
        <w:ind w:left="709"/>
        <w:rPr>
          <w:rFonts w:ascii="Times New Roman" w:hAnsi="Times New Roman" w:cs="Times New Roman"/>
          <w:sz w:val="20"/>
          <w:szCs w:val="20"/>
        </w:rPr>
      </w:pPr>
    </w:p>
    <w:p w14:paraId="64DDA77B" w14:textId="01A34EFF" w:rsidR="00074AF4" w:rsidRPr="008A4C00" w:rsidRDefault="00247DB2" w:rsidP="008A4C00">
      <w:pPr>
        <w:spacing w:after="0"/>
        <w:ind w:left="709"/>
        <w:rPr>
          <w:rFonts w:ascii="Times New Roman" w:hAnsi="Times New Roman" w:cs="Times New Roman"/>
          <w:i/>
          <w:sz w:val="20"/>
          <w:szCs w:val="20"/>
          <w:lang w:val="da-DK"/>
        </w:rPr>
      </w:pPr>
      <w:r w:rsidRPr="008A4C00">
        <w:rPr>
          <w:rFonts w:ascii="Times New Roman" w:hAnsi="Times New Roman" w:cs="Times New Roman"/>
          <w:i/>
          <w:sz w:val="20"/>
          <w:szCs w:val="20"/>
          <w:lang w:val="da-DK"/>
        </w:rPr>
        <w:t>Kilde:</w:t>
      </w:r>
      <w:r w:rsidR="00472D95" w:rsidRPr="008A4C00">
        <w:rPr>
          <w:rFonts w:ascii="Times New Roman" w:hAnsi="Times New Roman" w:cs="Times New Roman"/>
          <w:i/>
          <w:sz w:val="20"/>
          <w:szCs w:val="20"/>
          <w:lang w:val="da-DK"/>
        </w:rPr>
        <w:t xml:space="preserve"> </w:t>
      </w:r>
      <w:r w:rsidR="008A4C00" w:rsidRPr="008A4C00">
        <w:rPr>
          <w:rFonts w:ascii="Times New Roman" w:hAnsi="Times New Roman" w:cs="Times New Roman"/>
          <w:i/>
          <w:sz w:val="20"/>
          <w:szCs w:val="20"/>
          <w:lang w:val="da-DK"/>
        </w:rPr>
        <w:t xml:space="preserve">Jesper </w:t>
      </w:r>
      <w:r w:rsidR="00472D95" w:rsidRPr="008A4C00">
        <w:rPr>
          <w:rFonts w:ascii="Times New Roman" w:hAnsi="Times New Roman" w:cs="Times New Roman"/>
          <w:i/>
          <w:sz w:val="20"/>
          <w:szCs w:val="20"/>
          <w:lang w:val="da-DK"/>
        </w:rPr>
        <w:t xml:space="preserve">Rangvids blog 18. </w:t>
      </w:r>
      <w:r w:rsidR="008A4C00">
        <w:rPr>
          <w:rFonts w:ascii="Times New Roman" w:hAnsi="Times New Roman" w:cs="Times New Roman"/>
          <w:i/>
          <w:sz w:val="20"/>
          <w:szCs w:val="20"/>
          <w:lang w:val="da-DK"/>
        </w:rPr>
        <w:t>j</w:t>
      </w:r>
      <w:r w:rsidR="00472D95" w:rsidRPr="008A4C00">
        <w:rPr>
          <w:rFonts w:ascii="Times New Roman" w:hAnsi="Times New Roman" w:cs="Times New Roman"/>
          <w:i/>
          <w:sz w:val="20"/>
          <w:szCs w:val="20"/>
          <w:lang w:val="da-DK"/>
        </w:rPr>
        <w:t>uli 2021</w:t>
      </w:r>
    </w:p>
    <w:p w14:paraId="66ECF07A" w14:textId="2AD271A1" w:rsidR="00115B72" w:rsidRPr="008A4C00" w:rsidRDefault="00115B72" w:rsidP="008A4C00">
      <w:pPr>
        <w:spacing w:after="0"/>
        <w:ind w:left="709"/>
        <w:rPr>
          <w:rFonts w:ascii="Times New Roman" w:hAnsi="Times New Roman" w:cs="Times New Roman"/>
          <w:sz w:val="20"/>
          <w:szCs w:val="20"/>
          <w:lang w:val="da-DK"/>
        </w:rPr>
      </w:pPr>
    </w:p>
    <w:p w14:paraId="6565276D" w14:textId="77777777" w:rsidR="00226BFF" w:rsidRPr="008A4C00" w:rsidRDefault="00226BFF" w:rsidP="008A4C00">
      <w:pPr>
        <w:spacing w:after="0" w:line="240" w:lineRule="auto"/>
        <w:ind w:left="709"/>
        <w:rPr>
          <w:rFonts w:ascii="Times New Roman" w:eastAsia="Times New Roman" w:hAnsi="Times New Roman" w:cs="Times New Roman"/>
          <w:sz w:val="20"/>
          <w:szCs w:val="20"/>
          <w:lang w:val="da-DK" w:eastAsia="da-DK"/>
        </w:rPr>
      </w:pPr>
    </w:p>
    <w:p w14:paraId="74A67E1A" w14:textId="711A30E6"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FOR SEVEN </w:t>
      </w:r>
      <w:proofErr w:type="gramStart"/>
      <w:r w:rsidRPr="008A4C00">
        <w:rPr>
          <w:rFonts w:ascii="Times New Roman" w:eastAsia="Times New Roman" w:hAnsi="Times New Roman" w:cs="Times New Roman"/>
          <w:sz w:val="20"/>
          <w:szCs w:val="20"/>
          <w:lang w:eastAsia="da-DK"/>
        </w:rPr>
        <w:t>months</w:t>
      </w:r>
      <w:proofErr w:type="gramEnd"/>
      <w:r w:rsidRPr="008A4C00">
        <w:rPr>
          <w:rFonts w:ascii="Times New Roman" w:eastAsia="Times New Roman" w:hAnsi="Times New Roman" w:cs="Times New Roman"/>
          <w:sz w:val="20"/>
          <w:szCs w:val="20"/>
          <w:lang w:eastAsia="da-DK"/>
        </w:rPr>
        <w:t xml:space="preserve"> most investors have been singing the same uplifting song. Since Pfizer and BioNTech published the successful results of trials of their covid-19 vaccine last November, the way to make money in markets has been to bet on a roaring rebound in the global economy, as pent-up demand for all the things the pandemic denied people—holidays, dining out, shopping—was unleashed. This “reflation” trade lifted the prices of commodities used in construction, such as copper and lumber, to record heights. It lifted global stocks, especially the share prices of firms hardest hit by the pandemic, such as cruise operators and retailers. The currencies of emerging economies, which tend to benefit more than most from global economic strength, rallied against the dollar and the euro. Bond yields climbed, along with expectations of speedy growth and higher inflation.</w:t>
      </w:r>
    </w:p>
    <w:p w14:paraId="32408ECD"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That appeared to change on June </w:t>
      </w:r>
      <w:proofErr w:type="gramStart"/>
      <w:r w:rsidRPr="008A4C00">
        <w:rPr>
          <w:rFonts w:ascii="Times New Roman" w:eastAsia="Times New Roman" w:hAnsi="Times New Roman" w:cs="Times New Roman"/>
          <w:sz w:val="20"/>
          <w:szCs w:val="20"/>
          <w:lang w:eastAsia="da-DK"/>
        </w:rPr>
        <w:t>16th</w:t>
      </w:r>
      <w:proofErr w:type="gramEnd"/>
      <w:r w:rsidRPr="008A4C00">
        <w:rPr>
          <w:rFonts w:ascii="Times New Roman" w:eastAsia="Times New Roman" w:hAnsi="Times New Roman" w:cs="Times New Roman"/>
          <w:sz w:val="20"/>
          <w:szCs w:val="20"/>
          <w:lang w:eastAsia="da-DK"/>
        </w:rPr>
        <w:t xml:space="preserve">, after the Federal Reserve—hitherto apparently sanguine about rising American inflation—suggested that it may eventually think about raising its policy rate, long anchored at zero. Shorter-dated bonds and shares tumbled, as did those building-boom commodities. These jitters were soothed somewhat on June 22nd when Jerome Powell, the Fed’s </w:t>
      </w:r>
      <w:proofErr w:type="gramStart"/>
      <w:r w:rsidRPr="008A4C00">
        <w:rPr>
          <w:rFonts w:ascii="Times New Roman" w:eastAsia="Times New Roman" w:hAnsi="Times New Roman" w:cs="Times New Roman"/>
          <w:sz w:val="20"/>
          <w:szCs w:val="20"/>
          <w:lang w:eastAsia="da-DK"/>
        </w:rPr>
        <w:t>chairman</w:t>
      </w:r>
      <w:proofErr w:type="gramEnd"/>
      <w:r w:rsidRPr="008A4C00">
        <w:rPr>
          <w:rFonts w:ascii="Times New Roman" w:eastAsia="Times New Roman" w:hAnsi="Times New Roman" w:cs="Times New Roman"/>
          <w:sz w:val="20"/>
          <w:szCs w:val="20"/>
          <w:lang w:eastAsia="da-DK"/>
        </w:rPr>
        <w:t xml:space="preserve">, stressed the central bank would remain patient and enable the economy to make a full recovery from the pandemic. </w:t>
      </w:r>
      <w:proofErr w:type="gramStart"/>
      <w:r w:rsidRPr="008A4C00">
        <w:rPr>
          <w:rFonts w:ascii="Times New Roman" w:eastAsia="Times New Roman" w:hAnsi="Times New Roman" w:cs="Times New Roman"/>
          <w:sz w:val="20"/>
          <w:szCs w:val="20"/>
          <w:lang w:eastAsia="da-DK"/>
        </w:rPr>
        <w:t>But</w:t>
      </w:r>
      <w:proofErr w:type="gramEnd"/>
      <w:r w:rsidRPr="008A4C00">
        <w:rPr>
          <w:rFonts w:ascii="Times New Roman" w:eastAsia="Times New Roman" w:hAnsi="Times New Roman" w:cs="Times New Roman"/>
          <w:sz w:val="20"/>
          <w:szCs w:val="20"/>
          <w:lang w:eastAsia="da-DK"/>
        </w:rPr>
        <w:t xml:space="preserve"> investors have been left wondering whether the great reflation trade is over.</w:t>
      </w:r>
    </w:p>
    <w:p w14:paraId="71B322EA"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The enthusiasm of the past few months </w:t>
      </w:r>
      <w:proofErr w:type="gramStart"/>
      <w:r w:rsidRPr="008A4C00">
        <w:rPr>
          <w:rFonts w:ascii="Times New Roman" w:eastAsia="Times New Roman" w:hAnsi="Times New Roman" w:cs="Times New Roman"/>
          <w:sz w:val="20"/>
          <w:szCs w:val="20"/>
          <w:lang w:eastAsia="da-DK"/>
        </w:rPr>
        <w:t>was underpinned</w:t>
      </w:r>
      <w:proofErr w:type="gramEnd"/>
      <w:r w:rsidRPr="008A4C00">
        <w:rPr>
          <w:rFonts w:ascii="Times New Roman" w:eastAsia="Times New Roman" w:hAnsi="Times New Roman" w:cs="Times New Roman"/>
          <w:sz w:val="20"/>
          <w:szCs w:val="20"/>
          <w:lang w:eastAsia="da-DK"/>
        </w:rPr>
        <w:t xml:space="preserve"> partly by the assumption that the Fed would maintain the same, super-loose monetary policy. Hence the anxiety when </w:t>
      </w:r>
      <w:proofErr w:type="spellStart"/>
      <w:r w:rsidRPr="008A4C00">
        <w:rPr>
          <w:rFonts w:ascii="Times New Roman" w:eastAsia="Times New Roman" w:hAnsi="Times New Roman" w:cs="Times New Roman"/>
          <w:sz w:val="20"/>
          <w:szCs w:val="20"/>
          <w:lang w:eastAsia="da-DK"/>
        </w:rPr>
        <w:t>Mr</w:t>
      </w:r>
      <w:proofErr w:type="spellEnd"/>
      <w:r w:rsidRPr="008A4C00">
        <w:rPr>
          <w:rFonts w:ascii="Times New Roman" w:eastAsia="Times New Roman" w:hAnsi="Times New Roman" w:cs="Times New Roman"/>
          <w:sz w:val="20"/>
          <w:szCs w:val="20"/>
          <w:lang w:eastAsia="da-DK"/>
        </w:rPr>
        <w:t xml:space="preserve"> Powell suggested that the central bank might have to consider tightening “somewhat sooner than previously anticipated”. The Fed raised its inflation </w:t>
      </w:r>
      <w:r w:rsidRPr="008A4C00">
        <w:rPr>
          <w:rFonts w:ascii="Times New Roman" w:eastAsia="Times New Roman" w:hAnsi="Times New Roman" w:cs="Times New Roman"/>
          <w:sz w:val="20"/>
          <w:szCs w:val="20"/>
          <w:lang w:eastAsia="da-DK"/>
        </w:rPr>
        <w:lastRenderedPageBreak/>
        <w:t xml:space="preserve">forecasts and lifted its median estimate for the future of policy rates to include two increases in 2023. </w:t>
      </w:r>
      <w:proofErr w:type="spellStart"/>
      <w:r w:rsidRPr="008A4C00">
        <w:rPr>
          <w:rFonts w:ascii="Times New Roman" w:eastAsia="Times New Roman" w:hAnsi="Times New Roman" w:cs="Times New Roman"/>
          <w:sz w:val="20"/>
          <w:szCs w:val="20"/>
          <w:lang w:eastAsia="da-DK"/>
        </w:rPr>
        <w:t>Mr</w:t>
      </w:r>
      <w:proofErr w:type="spellEnd"/>
      <w:r w:rsidRPr="008A4C00">
        <w:rPr>
          <w:rFonts w:ascii="Times New Roman" w:eastAsia="Times New Roman" w:hAnsi="Times New Roman" w:cs="Times New Roman"/>
          <w:sz w:val="20"/>
          <w:szCs w:val="20"/>
          <w:lang w:eastAsia="da-DK"/>
        </w:rPr>
        <w:t xml:space="preserve"> Powell also said the Fed would begin discussing when to slow its asset purchases from the current $120bn per month. This change in tone was reinforced two days later when James Bullard, head of the St Louis Fed, told CNBC that the first rate rise could arrive in late 2022.</w:t>
      </w:r>
    </w:p>
    <w:p w14:paraId="004F600D"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The Fed had seemed nonchalant even as signs of overheating in the American economy became harder to ignore. A measure of inflation the central bank watches closely, “core PCE”, jumped to 3%, year on year, at the end of April. Headline inflation, gauged by the consumer-price index, climbed from less than 2% in February to 5% in May. Anecdotal evidence of overheating abounds, from the piping-hot housing market to spiking grocery bills, gas prices and Uber fares. Yet Fed officials said the acceleration in inflation was “transitory” and that they would look through its effects. Investors believed them.</w:t>
      </w:r>
    </w:p>
    <w:p w14:paraId="00247BB6" w14:textId="14D2E477" w:rsidR="00226BFF"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So they </w:t>
      </w:r>
      <w:proofErr w:type="gramStart"/>
      <w:r w:rsidRPr="008A4C00">
        <w:rPr>
          <w:rFonts w:ascii="Times New Roman" w:eastAsia="Times New Roman" w:hAnsi="Times New Roman" w:cs="Times New Roman"/>
          <w:sz w:val="20"/>
          <w:szCs w:val="20"/>
          <w:lang w:eastAsia="da-DK"/>
        </w:rPr>
        <w:t>were surprised</w:t>
      </w:r>
      <w:proofErr w:type="gramEnd"/>
      <w:r w:rsidRPr="008A4C00">
        <w:rPr>
          <w:rFonts w:ascii="Times New Roman" w:eastAsia="Times New Roman" w:hAnsi="Times New Roman" w:cs="Times New Roman"/>
          <w:sz w:val="20"/>
          <w:szCs w:val="20"/>
          <w:lang w:eastAsia="da-DK"/>
        </w:rPr>
        <w:t xml:space="preserve"> by the change of tone. Many of the trends that have dominated markets since November unwound. Reflecting the prospective rate increases, the yield on two-year Treasury bonds jumped to 0.27%, from 0.16% on June </w:t>
      </w:r>
      <w:proofErr w:type="gramStart"/>
      <w:r w:rsidRPr="008A4C00">
        <w:rPr>
          <w:rFonts w:ascii="Times New Roman" w:eastAsia="Times New Roman" w:hAnsi="Times New Roman" w:cs="Times New Roman"/>
          <w:sz w:val="20"/>
          <w:szCs w:val="20"/>
          <w:lang w:eastAsia="da-DK"/>
        </w:rPr>
        <w:t>14th</w:t>
      </w:r>
      <w:proofErr w:type="gramEnd"/>
      <w:r w:rsidRPr="008A4C00">
        <w:rPr>
          <w:rFonts w:ascii="Times New Roman" w:eastAsia="Times New Roman" w:hAnsi="Times New Roman" w:cs="Times New Roman"/>
          <w:sz w:val="20"/>
          <w:szCs w:val="20"/>
          <w:lang w:eastAsia="da-DK"/>
        </w:rPr>
        <w:t xml:space="preserve"> (see chart). The 30-year yield, which tends to follow long-term growth or inflation expectations, tumbled to 2.02% on June </w:t>
      </w:r>
      <w:proofErr w:type="gramStart"/>
      <w:r w:rsidRPr="008A4C00">
        <w:rPr>
          <w:rFonts w:ascii="Times New Roman" w:eastAsia="Times New Roman" w:hAnsi="Times New Roman" w:cs="Times New Roman"/>
          <w:sz w:val="20"/>
          <w:szCs w:val="20"/>
          <w:lang w:eastAsia="da-DK"/>
        </w:rPr>
        <w:t>18th</w:t>
      </w:r>
      <w:proofErr w:type="gramEnd"/>
      <w:r w:rsidRPr="008A4C00">
        <w:rPr>
          <w:rFonts w:ascii="Times New Roman" w:eastAsia="Times New Roman" w:hAnsi="Times New Roman" w:cs="Times New Roman"/>
          <w:sz w:val="20"/>
          <w:szCs w:val="20"/>
          <w:lang w:eastAsia="da-DK"/>
        </w:rPr>
        <w:t>, from 2.21% before the Fed’s meeting.</w:t>
      </w:r>
    </w:p>
    <w:p w14:paraId="79936073" w14:textId="77777777" w:rsidR="008A4C00" w:rsidRPr="008A4C00" w:rsidRDefault="008A4C00" w:rsidP="008A4C00">
      <w:pPr>
        <w:spacing w:after="0" w:line="240" w:lineRule="auto"/>
        <w:ind w:left="709"/>
        <w:rPr>
          <w:rFonts w:ascii="Times New Roman" w:eastAsia="Times New Roman" w:hAnsi="Times New Roman" w:cs="Times New Roman"/>
          <w:sz w:val="20"/>
          <w:szCs w:val="20"/>
          <w:lang w:eastAsia="da-DK"/>
        </w:rPr>
      </w:pPr>
    </w:p>
    <w:p w14:paraId="12AAB64F" w14:textId="3D8741C1" w:rsidR="00226BFF"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noProof/>
          <w:sz w:val="20"/>
          <w:szCs w:val="20"/>
          <w:lang w:val="da-DK" w:eastAsia="da-DK"/>
        </w:rPr>
        <w:drawing>
          <wp:inline distT="0" distB="0" distL="0" distR="0" wp14:anchorId="4FF81826" wp14:editId="2DE17661">
            <wp:extent cx="3543300" cy="3858001"/>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203" cy="3867695"/>
                    </a:xfrm>
                    <a:prstGeom prst="rect">
                      <a:avLst/>
                    </a:prstGeom>
                    <a:noFill/>
                    <a:ln>
                      <a:noFill/>
                    </a:ln>
                  </pic:spPr>
                </pic:pic>
              </a:graphicData>
            </a:graphic>
          </wp:inline>
        </w:drawing>
      </w:r>
    </w:p>
    <w:p w14:paraId="08F24CC7" w14:textId="77777777" w:rsidR="008A4C00" w:rsidRPr="008A4C00" w:rsidRDefault="008A4C00" w:rsidP="008A4C00">
      <w:pPr>
        <w:spacing w:after="0" w:line="240" w:lineRule="auto"/>
        <w:ind w:left="709"/>
        <w:rPr>
          <w:rFonts w:ascii="Times New Roman" w:eastAsia="Times New Roman" w:hAnsi="Times New Roman" w:cs="Times New Roman"/>
          <w:sz w:val="20"/>
          <w:szCs w:val="20"/>
          <w:lang w:eastAsia="da-DK"/>
        </w:rPr>
      </w:pPr>
    </w:p>
    <w:p w14:paraId="3A20B799"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The prospect of the Fed putting a brake on inflation and growth hit share and commodity prices. “Value” stocks, which had performed particularly well since November, </w:t>
      </w:r>
      <w:proofErr w:type="gramStart"/>
      <w:r w:rsidRPr="008A4C00">
        <w:rPr>
          <w:rFonts w:ascii="Times New Roman" w:eastAsia="Times New Roman" w:hAnsi="Times New Roman" w:cs="Times New Roman"/>
          <w:sz w:val="20"/>
          <w:szCs w:val="20"/>
          <w:lang w:eastAsia="da-DK"/>
        </w:rPr>
        <w:t>were hit</w:t>
      </w:r>
      <w:proofErr w:type="gramEnd"/>
      <w:r w:rsidRPr="008A4C00">
        <w:rPr>
          <w:rFonts w:ascii="Times New Roman" w:eastAsia="Times New Roman" w:hAnsi="Times New Roman" w:cs="Times New Roman"/>
          <w:sz w:val="20"/>
          <w:szCs w:val="20"/>
          <w:lang w:eastAsia="da-DK"/>
        </w:rPr>
        <w:t xml:space="preserve"> hard. Copper lost its spark, shedding 8% over the week. Lumber </w:t>
      </w:r>
      <w:proofErr w:type="gramStart"/>
      <w:r w:rsidRPr="008A4C00">
        <w:rPr>
          <w:rFonts w:ascii="Times New Roman" w:eastAsia="Times New Roman" w:hAnsi="Times New Roman" w:cs="Times New Roman"/>
          <w:sz w:val="20"/>
          <w:szCs w:val="20"/>
          <w:lang w:eastAsia="da-DK"/>
        </w:rPr>
        <w:t>was felled</w:t>
      </w:r>
      <w:proofErr w:type="gramEnd"/>
      <w:r w:rsidRPr="008A4C00">
        <w:rPr>
          <w:rFonts w:ascii="Times New Roman" w:eastAsia="Times New Roman" w:hAnsi="Times New Roman" w:cs="Times New Roman"/>
          <w:sz w:val="20"/>
          <w:szCs w:val="20"/>
          <w:lang w:eastAsia="da-DK"/>
        </w:rPr>
        <w:t xml:space="preserve">, dropping 15%. The S&amp;P 500 slipped from near a record high, ending the week about 2% lower, though it has since recovered those losses, partly thanks to </w:t>
      </w:r>
      <w:proofErr w:type="spellStart"/>
      <w:r w:rsidRPr="008A4C00">
        <w:rPr>
          <w:rFonts w:ascii="Times New Roman" w:eastAsia="Times New Roman" w:hAnsi="Times New Roman" w:cs="Times New Roman"/>
          <w:sz w:val="20"/>
          <w:szCs w:val="20"/>
          <w:lang w:eastAsia="da-DK"/>
        </w:rPr>
        <w:t>Mr</w:t>
      </w:r>
      <w:proofErr w:type="spellEnd"/>
      <w:r w:rsidRPr="008A4C00">
        <w:rPr>
          <w:rFonts w:ascii="Times New Roman" w:eastAsia="Times New Roman" w:hAnsi="Times New Roman" w:cs="Times New Roman"/>
          <w:sz w:val="20"/>
          <w:szCs w:val="20"/>
          <w:lang w:eastAsia="da-DK"/>
        </w:rPr>
        <w:t xml:space="preserve"> Powell’s soothing words on June </w:t>
      </w:r>
      <w:proofErr w:type="gramStart"/>
      <w:r w:rsidRPr="008A4C00">
        <w:rPr>
          <w:rFonts w:ascii="Times New Roman" w:eastAsia="Times New Roman" w:hAnsi="Times New Roman" w:cs="Times New Roman"/>
          <w:sz w:val="20"/>
          <w:szCs w:val="20"/>
          <w:lang w:eastAsia="da-DK"/>
        </w:rPr>
        <w:t>22nd</w:t>
      </w:r>
      <w:proofErr w:type="gramEnd"/>
      <w:r w:rsidRPr="008A4C00">
        <w:rPr>
          <w:rFonts w:ascii="Times New Roman" w:eastAsia="Times New Roman" w:hAnsi="Times New Roman" w:cs="Times New Roman"/>
          <w:sz w:val="20"/>
          <w:szCs w:val="20"/>
          <w:lang w:eastAsia="da-DK"/>
        </w:rPr>
        <w:t>.</w:t>
      </w:r>
    </w:p>
    <w:p w14:paraId="143044A7"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The Fed also wrong-footed monetary policymakers elsewhere. When it last unwound a post-crisis stimulus, in 2013, the Fed set off a notorious “taper tantrum” in which many emerging-market currencies fell sharply against the dollar. On June </w:t>
      </w:r>
      <w:proofErr w:type="gramStart"/>
      <w:r w:rsidRPr="008A4C00">
        <w:rPr>
          <w:rFonts w:ascii="Times New Roman" w:eastAsia="Times New Roman" w:hAnsi="Times New Roman" w:cs="Times New Roman"/>
          <w:sz w:val="20"/>
          <w:szCs w:val="20"/>
          <w:lang w:eastAsia="da-DK"/>
        </w:rPr>
        <w:t>16th</w:t>
      </w:r>
      <w:proofErr w:type="gramEnd"/>
      <w:r w:rsidRPr="008A4C00">
        <w:rPr>
          <w:rFonts w:ascii="Times New Roman" w:eastAsia="Times New Roman" w:hAnsi="Times New Roman" w:cs="Times New Roman"/>
          <w:sz w:val="20"/>
          <w:szCs w:val="20"/>
          <w:lang w:eastAsia="da-DK"/>
        </w:rPr>
        <w:t xml:space="preserve"> the Brazilian central bank raised its interest rates from 3.5% to 4.25%, the third increase since February, despite the damage covid-19 has done to Brazil’s economy (and to Brazilians’ health). In </w:t>
      </w:r>
      <w:proofErr w:type="gramStart"/>
      <w:r w:rsidRPr="008A4C00">
        <w:rPr>
          <w:rFonts w:ascii="Times New Roman" w:eastAsia="Times New Roman" w:hAnsi="Times New Roman" w:cs="Times New Roman"/>
          <w:sz w:val="20"/>
          <w:szCs w:val="20"/>
          <w:lang w:eastAsia="da-DK"/>
        </w:rPr>
        <w:t>Hungary</w:t>
      </w:r>
      <w:proofErr w:type="gramEnd"/>
      <w:r w:rsidRPr="008A4C00">
        <w:rPr>
          <w:rFonts w:ascii="Times New Roman" w:eastAsia="Times New Roman" w:hAnsi="Times New Roman" w:cs="Times New Roman"/>
          <w:sz w:val="20"/>
          <w:szCs w:val="20"/>
          <w:lang w:eastAsia="da-DK"/>
        </w:rPr>
        <w:t xml:space="preserve"> the central bank raised interest rates by 0.3 percentage points on June 22nd, a little more than expected. It was followed a day later by the Czech National Bank. Central bankers in the developing world worry that a more hawkish Fed will cause their currencies to weaken, exacerbating their inflation problems.</w:t>
      </w:r>
    </w:p>
    <w:p w14:paraId="1AC67F15"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 xml:space="preserve">The question </w:t>
      </w:r>
      <w:proofErr w:type="gramStart"/>
      <w:r w:rsidRPr="008A4C00">
        <w:rPr>
          <w:rFonts w:ascii="Times New Roman" w:eastAsia="Times New Roman" w:hAnsi="Times New Roman" w:cs="Times New Roman"/>
          <w:sz w:val="20"/>
          <w:szCs w:val="20"/>
          <w:lang w:eastAsia="da-DK"/>
        </w:rPr>
        <w:t>investors</w:t>
      </w:r>
      <w:proofErr w:type="gramEnd"/>
      <w:r w:rsidRPr="008A4C00">
        <w:rPr>
          <w:rFonts w:ascii="Times New Roman" w:eastAsia="Times New Roman" w:hAnsi="Times New Roman" w:cs="Times New Roman"/>
          <w:sz w:val="20"/>
          <w:szCs w:val="20"/>
          <w:lang w:eastAsia="da-DK"/>
        </w:rPr>
        <w:t xml:space="preserve"> face now is how much the Fed’s stance has really shifted. It now appears that the initial reaction to the Fed meeting was overdone. When many investors hold the same portfolio of positions, they </w:t>
      </w:r>
      <w:proofErr w:type="gramStart"/>
      <w:r w:rsidRPr="008A4C00">
        <w:rPr>
          <w:rFonts w:ascii="Times New Roman" w:eastAsia="Times New Roman" w:hAnsi="Times New Roman" w:cs="Times New Roman"/>
          <w:sz w:val="20"/>
          <w:szCs w:val="20"/>
          <w:lang w:eastAsia="da-DK"/>
        </w:rPr>
        <w:t xml:space="preserve">can </w:t>
      </w:r>
      <w:r w:rsidRPr="008A4C00">
        <w:rPr>
          <w:rFonts w:ascii="Times New Roman" w:eastAsia="Times New Roman" w:hAnsi="Times New Roman" w:cs="Times New Roman"/>
          <w:sz w:val="20"/>
          <w:szCs w:val="20"/>
          <w:lang w:eastAsia="da-DK"/>
        </w:rPr>
        <w:lastRenderedPageBreak/>
        <w:t>be forced</w:t>
      </w:r>
      <w:proofErr w:type="gramEnd"/>
      <w:r w:rsidRPr="008A4C00">
        <w:rPr>
          <w:rFonts w:ascii="Times New Roman" w:eastAsia="Times New Roman" w:hAnsi="Times New Roman" w:cs="Times New Roman"/>
          <w:sz w:val="20"/>
          <w:szCs w:val="20"/>
          <w:lang w:eastAsia="da-DK"/>
        </w:rPr>
        <w:t xml:space="preserve"> to bail out in a hurry if markets move violently against them. This liquidation of positions can exacerbate volatility. In fact, there are reasons to think the great reflation trade has further to run: the reopening of the American economy is still in its early stages, the end of 2022 is a long way off and </w:t>
      </w:r>
      <w:proofErr w:type="spellStart"/>
      <w:r w:rsidRPr="008A4C00">
        <w:rPr>
          <w:rFonts w:ascii="Times New Roman" w:eastAsia="Times New Roman" w:hAnsi="Times New Roman" w:cs="Times New Roman"/>
          <w:sz w:val="20"/>
          <w:szCs w:val="20"/>
          <w:lang w:eastAsia="da-DK"/>
        </w:rPr>
        <w:t>Mr</w:t>
      </w:r>
      <w:proofErr w:type="spellEnd"/>
      <w:r w:rsidRPr="008A4C00">
        <w:rPr>
          <w:rFonts w:ascii="Times New Roman" w:eastAsia="Times New Roman" w:hAnsi="Times New Roman" w:cs="Times New Roman"/>
          <w:sz w:val="20"/>
          <w:szCs w:val="20"/>
          <w:lang w:eastAsia="da-DK"/>
        </w:rPr>
        <w:t xml:space="preserve"> Powell still seems apprehensive about tightening policy too quickly.</w:t>
      </w:r>
    </w:p>
    <w:p w14:paraId="4C05F5E3" w14:textId="77777777" w:rsidR="00226BFF" w:rsidRPr="008A4C00" w:rsidRDefault="00226BFF" w:rsidP="008A4C00">
      <w:pPr>
        <w:spacing w:after="0" w:line="240" w:lineRule="auto"/>
        <w:ind w:left="709"/>
        <w:rPr>
          <w:rFonts w:ascii="Times New Roman" w:eastAsia="Times New Roman" w:hAnsi="Times New Roman" w:cs="Times New Roman"/>
          <w:sz w:val="20"/>
          <w:szCs w:val="20"/>
          <w:lang w:eastAsia="da-DK"/>
        </w:rPr>
      </w:pPr>
      <w:r w:rsidRPr="008A4C00">
        <w:rPr>
          <w:rFonts w:ascii="Times New Roman" w:eastAsia="Times New Roman" w:hAnsi="Times New Roman" w:cs="Times New Roman"/>
          <w:sz w:val="20"/>
          <w:szCs w:val="20"/>
          <w:lang w:eastAsia="da-DK"/>
        </w:rPr>
        <w:t>But those turning their backs on emerging-market currencies, value stocks and copper will find plenty to convince themselves that the economy is about to slow once more. Lumber prices were already slipping before the Fed meeting, as a frenzy for home improvements cooled. Credit-card spending, an early indicator of economic activity, had been running 20% higher than it was two years ago, but this month the pace has slowed to 16.5%, according to Bank of America. Soon, investors will learn which bet pays off next.</w:t>
      </w:r>
    </w:p>
    <w:p w14:paraId="65D3F2D0" w14:textId="77777777" w:rsidR="008A4C00" w:rsidRDefault="008A4C00" w:rsidP="008A4C00">
      <w:pPr>
        <w:spacing w:after="0"/>
        <w:ind w:left="709"/>
        <w:rPr>
          <w:rFonts w:ascii="Times New Roman" w:hAnsi="Times New Roman" w:cs="Times New Roman"/>
          <w:sz w:val="20"/>
          <w:szCs w:val="20"/>
        </w:rPr>
      </w:pPr>
    </w:p>
    <w:p w14:paraId="1BB6D438" w14:textId="028E3EAF" w:rsidR="00226BFF" w:rsidRPr="008A4C00" w:rsidRDefault="00226BFF" w:rsidP="008A4C00">
      <w:pPr>
        <w:spacing w:after="0"/>
        <w:ind w:left="709"/>
        <w:rPr>
          <w:rFonts w:ascii="Times New Roman" w:hAnsi="Times New Roman" w:cs="Times New Roman"/>
          <w:i/>
          <w:sz w:val="20"/>
          <w:szCs w:val="20"/>
          <w:lang w:val="da-DK"/>
        </w:rPr>
      </w:pPr>
      <w:r w:rsidRPr="008A4C00">
        <w:rPr>
          <w:rFonts w:ascii="Times New Roman" w:hAnsi="Times New Roman" w:cs="Times New Roman"/>
          <w:i/>
          <w:sz w:val="20"/>
          <w:szCs w:val="20"/>
          <w:lang w:val="da-DK"/>
        </w:rPr>
        <w:t xml:space="preserve">Kilde: The Economist24. </w:t>
      </w:r>
      <w:r w:rsidR="008A4C00" w:rsidRPr="008A4C00">
        <w:rPr>
          <w:rFonts w:ascii="Times New Roman" w:hAnsi="Times New Roman" w:cs="Times New Roman"/>
          <w:i/>
          <w:sz w:val="20"/>
          <w:szCs w:val="20"/>
          <w:lang w:val="da-DK"/>
        </w:rPr>
        <w:t>j</w:t>
      </w:r>
      <w:r w:rsidRPr="008A4C00">
        <w:rPr>
          <w:rFonts w:ascii="Times New Roman" w:hAnsi="Times New Roman" w:cs="Times New Roman"/>
          <w:i/>
          <w:sz w:val="20"/>
          <w:szCs w:val="20"/>
          <w:lang w:val="da-DK"/>
        </w:rPr>
        <w:t>uni 2021</w:t>
      </w:r>
    </w:p>
    <w:p w14:paraId="665E0A3F" w14:textId="77777777" w:rsidR="00115B72" w:rsidRPr="008A4C00" w:rsidRDefault="00115B72" w:rsidP="007B3D5B">
      <w:pPr>
        <w:spacing w:after="0"/>
        <w:rPr>
          <w:rFonts w:ascii="Times New Roman" w:hAnsi="Times New Roman" w:cs="Times New Roman"/>
          <w:sz w:val="20"/>
          <w:szCs w:val="20"/>
          <w:lang w:val="da-DK"/>
        </w:rPr>
      </w:pPr>
    </w:p>
    <w:p w14:paraId="0A9AE0AE" w14:textId="77777777" w:rsidR="00074AF4" w:rsidRPr="008A4C00" w:rsidRDefault="00074AF4" w:rsidP="007B3D5B">
      <w:pPr>
        <w:spacing w:after="0"/>
        <w:rPr>
          <w:rFonts w:ascii="Times New Roman" w:hAnsi="Times New Roman" w:cs="Times New Roman"/>
          <w:sz w:val="20"/>
          <w:szCs w:val="20"/>
          <w:lang w:val="da-DK"/>
        </w:rPr>
      </w:pPr>
    </w:p>
    <w:p w14:paraId="34D0DC6E" w14:textId="1C9BD1BE" w:rsidR="00BD6CBD" w:rsidRPr="008A4C00" w:rsidRDefault="00B14ECB" w:rsidP="00BD6CBD">
      <w:pPr>
        <w:spacing w:after="0"/>
        <w:rPr>
          <w:rFonts w:ascii="Times New Roman" w:hAnsi="Times New Roman" w:cs="Times New Roman"/>
          <w:b/>
          <w:bCs/>
          <w:color w:val="000000" w:themeColor="text1"/>
          <w:sz w:val="20"/>
          <w:szCs w:val="20"/>
          <w:lang w:val="da-DK"/>
        </w:rPr>
      </w:pPr>
      <w:r w:rsidRPr="008A4C00">
        <w:rPr>
          <w:rFonts w:ascii="Times New Roman" w:hAnsi="Times New Roman" w:cs="Times New Roman"/>
          <w:b/>
          <w:bCs/>
          <w:color w:val="000000" w:themeColor="text1"/>
          <w:sz w:val="20"/>
          <w:szCs w:val="20"/>
          <w:lang w:val="da-DK"/>
        </w:rPr>
        <w:t>5.21</w:t>
      </w:r>
    </w:p>
    <w:p w14:paraId="2A7788A8" w14:textId="26076497" w:rsidR="00D25051" w:rsidRDefault="00CC3ABD" w:rsidP="00593E52">
      <w:pPr>
        <w:spacing w:after="0"/>
        <w:rPr>
          <w:rFonts w:ascii="Times New Roman" w:hAnsi="Times New Roman" w:cs="Times New Roman"/>
          <w:color w:val="000000" w:themeColor="text1"/>
          <w:sz w:val="20"/>
          <w:szCs w:val="20"/>
          <w:lang w:val="da-DK"/>
        </w:rPr>
      </w:pPr>
      <w:r>
        <w:rPr>
          <w:rFonts w:ascii="Times New Roman" w:hAnsi="Times New Roman" w:cs="Times New Roman"/>
          <w:color w:val="000000" w:themeColor="text1"/>
          <w:sz w:val="20"/>
          <w:szCs w:val="20"/>
          <w:lang w:val="da-DK"/>
        </w:rPr>
        <w:t>I en analyse fra Danmarks Nationalbank fra juli 2019 fremfører banken følgende:</w:t>
      </w:r>
    </w:p>
    <w:p w14:paraId="75EEC98C" w14:textId="506C441D" w:rsidR="00CC3ABD" w:rsidRPr="008A4C00" w:rsidRDefault="00CC3ABD" w:rsidP="008A4C00">
      <w:pPr>
        <w:spacing w:after="0"/>
        <w:ind w:left="567"/>
        <w:rPr>
          <w:rFonts w:ascii="Times New Roman" w:hAnsi="Times New Roman" w:cs="Times New Roman"/>
          <w:i/>
          <w:sz w:val="20"/>
          <w:szCs w:val="20"/>
          <w:lang w:val="da-DK"/>
        </w:rPr>
      </w:pPr>
      <w:r w:rsidRPr="008A4C00">
        <w:rPr>
          <w:rFonts w:ascii="Times New Roman" w:hAnsi="Times New Roman" w:cs="Times New Roman"/>
          <w:i/>
          <w:sz w:val="20"/>
          <w:szCs w:val="20"/>
          <w:lang w:val="da-DK"/>
        </w:rPr>
        <w:t>Den naturlige realrente er faldet siden 1990'erne. En væsentlig forklaring er den demografiske udvikling i Danmark og udlandet, og den forventes at vare ved i de kommende år. For at stimulere økonomien og øge inflationen, har centralbanker i flere lande taget ukonventionel pengepolitik i brug bl.a. som følge af lavere naturlige renter. Afsmitning fra lignende tiltag kan påvirke dansk økonomi i fremtiden.</w:t>
      </w:r>
    </w:p>
    <w:p w14:paraId="647DF1FC" w14:textId="611A7275" w:rsidR="00CC3ABD" w:rsidRPr="00CC3ABD" w:rsidRDefault="00CC3ABD" w:rsidP="00593E52">
      <w:pPr>
        <w:spacing w:after="0"/>
        <w:rPr>
          <w:rFonts w:ascii="Times New Roman" w:hAnsi="Times New Roman" w:cs="Times New Roman"/>
          <w:b/>
          <w:color w:val="000000" w:themeColor="text1"/>
          <w:sz w:val="20"/>
          <w:szCs w:val="20"/>
          <w:lang w:val="da-DK"/>
        </w:rPr>
      </w:pPr>
      <w:r w:rsidRPr="00CC3ABD">
        <w:rPr>
          <w:rFonts w:ascii="Times New Roman" w:hAnsi="Times New Roman" w:cs="Times New Roman"/>
          <w:sz w:val="20"/>
          <w:szCs w:val="20"/>
          <w:lang w:val="da-DK"/>
        </w:rPr>
        <w:t>Vurd</w:t>
      </w:r>
      <w:r w:rsidR="008A4C00">
        <w:rPr>
          <w:rFonts w:ascii="Times New Roman" w:hAnsi="Times New Roman" w:cs="Times New Roman"/>
          <w:sz w:val="20"/>
          <w:szCs w:val="20"/>
          <w:lang w:val="da-DK"/>
        </w:rPr>
        <w:t>é</w:t>
      </w:r>
      <w:r w:rsidRPr="00CC3ABD">
        <w:rPr>
          <w:rFonts w:ascii="Times New Roman" w:hAnsi="Times New Roman" w:cs="Times New Roman"/>
          <w:sz w:val="20"/>
          <w:szCs w:val="20"/>
          <w:lang w:val="da-DK"/>
        </w:rPr>
        <w:t>r baggrunden for synspunktet.</w:t>
      </w:r>
    </w:p>
    <w:p w14:paraId="59FD32C8" w14:textId="4EA5DE1A" w:rsidR="004D4879" w:rsidRDefault="004D4879" w:rsidP="00593E52">
      <w:pPr>
        <w:spacing w:after="0"/>
        <w:rPr>
          <w:rFonts w:ascii="Times New Roman" w:hAnsi="Times New Roman" w:cs="Times New Roman"/>
          <w:color w:val="000000" w:themeColor="text1"/>
          <w:sz w:val="20"/>
          <w:szCs w:val="20"/>
          <w:lang w:val="da-DK"/>
        </w:rPr>
      </w:pPr>
    </w:p>
    <w:p w14:paraId="4C465EFD" w14:textId="77777777" w:rsidR="008A4C00" w:rsidRPr="00AD00DC" w:rsidRDefault="008A4C00" w:rsidP="00593E52">
      <w:pPr>
        <w:spacing w:after="0"/>
        <w:rPr>
          <w:rFonts w:ascii="Times New Roman" w:hAnsi="Times New Roman" w:cs="Times New Roman"/>
          <w:color w:val="000000" w:themeColor="text1"/>
          <w:sz w:val="20"/>
          <w:szCs w:val="20"/>
          <w:lang w:val="da-DK"/>
        </w:rPr>
      </w:pPr>
    </w:p>
    <w:p w14:paraId="2DF0A8D3" w14:textId="36F96179" w:rsidR="00CC3ABD" w:rsidRDefault="00D25051" w:rsidP="008E5157">
      <w:pPr>
        <w:spacing w:after="0"/>
        <w:rPr>
          <w:rFonts w:ascii="Times New Roman" w:hAnsi="Times New Roman" w:cs="Times New Roman"/>
          <w:b/>
          <w:color w:val="000000" w:themeColor="text1"/>
          <w:sz w:val="20"/>
          <w:szCs w:val="20"/>
          <w:lang w:val="da-DK"/>
        </w:rPr>
      </w:pPr>
      <w:r>
        <w:rPr>
          <w:rFonts w:ascii="Times New Roman" w:hAnsi="Times New Roman" w:cs="Times New Roman"/>
          <w:b/>
          <w:color w:val="000000" w:themeColor="text1"/>
          <w:sz w:val="20"/>
          <w:szCs w:val="20"/>
          <w:lang w:val="da-DK"/>
        </w:rPr>
        <w:t>5.2</w:t>
      </w:r>
      <w:r w:rsidR="00CC3ABD">
        <w:rPr>
          <w:rFonts w:ascii="Times New Roman" w:hAnsi="Times New Roman" w:cs="Times New Roman"/>
          <w:b/>
          <w:color w:val="000000" w:themeColor="text1"/>
          <w:sz w:val="20"/>
          <w:szCs w:val="20"/>
          <w:lang w:val="da-DK"/>
        </w:rPr>
        <w:t>2</w:t>
      </w:r>
    </w:p>
    <w:p w14:paraId="332746A5" w14:textId="77E53C4A" w:rsidR="008A4C00" w:rsidRDefault="008A4C00" w:rsidP="008A4C00">
      <w:pPr>
        <w:pStyle w:val="NormalWeb"/>
        <w:spacing w:before="0" w:beforeAutospacing="0" w:after="0" w:afterAutospacing="0"/>
        <w:rPr>
          <w:sz w:val="20"/>
          <w:szCs w:val="20"/>
        </w:rPr>
      </w:pPr>
      <w:r>
        <w:rPr>
          <w:sz w:val="20"/>
          <w:szCs w:val="20"/>
        </w:rPr>
        <w:t>Du bedes redegøre for</w:t>
      </w:r>
      <w:r>
        <w:rPr>
          <w:sz w:val="20"/>
          <w:szCs w:val="20"/>
        </w:rPr>
        <w:t>, hvilke</w:t>
      </w:r>
      <w:r>
        <w:rPr>
          <w:sz w:val="20"/>
          <w:szCs w:val="20"/>
        </w:rPr>
        <w:t xml:space="preserve"> mulige fordele og ulemper</w:t>
      </w:r>
      <w:r>
        <w:rPr>
          <w:sz w:val="20"/>
          <w:szCs w:val="20"/>
        </w:rPr>
        <w:t xml:space="preserve"> nedenstående </w:t>
      </w:r>
      <w:r>
        <w:rPr>
          <w:sz w:val="20"/>
          <w:szCs w:val="20"/>
        </w:rPr>
        <w:t xml:space="preserve">kompromis </w:t>
      </w:r>
      <w:r>
        <w:rPr>
          <w:sz w:val="20"/>
          <w:szCs w:val="20"/>
        </w:rPr>
        <w:t>kan medføre for</w:t>
      </w:r>
      <w:r>
        <w:rPr>
          <w:sz w:val="20"/>
          <w:szCs w:val="20"/>
        </w:rPr>
        <w:t xml:space="preserve"> </w:t>
      </w:r>
    </w:p>
    <w:p w14:paraId="04CE023C" w14:textId="77777777" w:rsidR="008A4C00" w:rsidRDefault="008A4C00" w:rsidP="008A4C00">
      <w:pPr>
        <w:pStyle w:val="NormalWeb"/>
        <w:numPr>
          <w:ilvl w:val="0"/>
          <w:numId w:val="23"/>
        </w:numPr>
        <w:spacing w:before="0" w:beforeAutospacing="0" w:after="0" w:afterAutospacing="0"/>
        <w:rPr>
          <w:sz w:val="20"/>
          <w:szCs w:val="20"/>
        </w:rPr>
      </w:pPr>
      <w:r>
        <w:rPr>
          <w:sz w:val="20"/>
          <w:szCs w:val="20"/>
        </w:rPr>
        <w:t>Danmark</w:t>
      </w:r>
    </w:p>
    <w:p w14:paraId="6E38668D" w14:textId="77777777" w:rsidR="008A4C00" w:rsidRDefault="008A4C00" w:rsidP="008A4C00">
      <w:pPr>
        <w:pStyle w:val="NormalWeb"/>
        <w:numPr>
          <w:ilvl w:val="0"/>
          <w:numId w:val="23"/>
        </w:numPr>
        <w:spacing w:before="0" w:beforeAutospacing="0" w:after="0" w:afterAutospacing="0"/>
        <w:rPr>
          <w:sz w:val="20"/>
          <w:szCs w:val="20"/>
        </w:rPr>
      </w:pPr>
      <w:r>
        <w:rPr>
          <w:sz w:val="20"/>
          <w:szCs w:val="20"/>
        </w:rPr>
        <w:t>Italien</w:t>
      </w:r>
    </w:p>
    <w:p w14:paraId="04C31641" w14:textId="77777777" w:rsidR="008A4C00" w:rsidRPr="00224F5A" w:rsidRDefault="008A4C00" w:rsidP="008A4C00">
      <w:pPr>
        <w:pStyle w:val="NormalWeb"/>
        <w:numPr>
          <w:ilvl w:val="0"/>
          <w:numId w:val="23"/>
        </w:numPr>
        <w:spacing w:before="0" w:beforeAutospacing="0" w:after="0" w:afterAutospacing="0"/>
        <w:rPr>
          <w:sz w:val="20"/>
          <w:szCs w:val="20"/>
        </w:rPr>
      </w:pPr>
      <w:r>
        <w:rPr>
          <w:sz w:val="20"/>
          <w:szCs w:val="20"/>
        </w:rPr>
        <w:t>EU i sin helhed</w:t>
      </w:r>
    </w:p>
    <w:p w14:paraId="181D3281" w14:textId="77777777" w:rsidR="008A4C00" w:rsidRDefault="008A4C00" w:rsidP="008A4C00">
      <w:pPr>
        <w:spacing w:after="0"/>
        <w:rPr>
          <w:rFonts w:ascii="Times New Roman" w:hAnsi="Times New Roman" w:cs="Times New Roman"/>
          <w:b/>
          <w:color w:val="000000" w:themeColor="text1"/>
          <w:sz w:val="20"/>
          <w:szCs w:val="20"/>
          <w:lang w:val="da-DK"/>
        </w:rPr>
      </w:pPr>
    </w:p>
    <w:p w14:paraId="70DF7EE7" w14:textId="639CE19B" w:rsidR="008E2438" w:rsidRPr="008A4C00" w:rsidRDefault="008E2438" w:rsidP="008A4C00">
      <w:pPr>
        <w:spacing w:after="0" w:line="240" w:lineRule="auto"/>
        <w:ind w:left="567"/>
        <w:rPr>
          <w:rFonts w:ascii="Times New Roman" w:hAnsi="Times New Roman" w:cs="Times New Roman"/>
          <w:b/>
          <w:color w:val="000000" w:themeColor="text1"/>
          <w:sz w:val="20"/>
          <w:szCs w:val="20"/>
          <w:lang w:val="da-DK"/>
        </w:rPr>
      </w:pPr>
      <w:r w:rsidRPr="008A4C00">
        <w:rPr>
          <w:rFonts w:ascii="Times New Roman" w:hAnsi="Times New Roman" w:cs="Times New Roman"/>
          <w:b/>
          <w:color w:val="000000" w:themeColor="text1"/>
          <w:sz w:val="20"/>
          <w:szCs w:val="20"/>
          <w:lang w:val="da-DK"/>
        </w:rPr>
        <w:t>Kollektiv gæld</w:t>
      </w:r>
    </w:p>
    <w:p w14:paraId="3B01DE5F" w14:textId="4DFC2FD3" w:rsidR="00CD0D9A" w:rsidRPr="008A4C00" w:rsidRDefault="00CD0D9A" w:rsidP="008A4C00">
      <w:pPr>
        <w:pStyle w:val="NormalWeb"/>
        <w:spacing w:before="0" w:beforeAutospacing="0" w:after="0" w:afterAutospacing="0"/>
        <w:ind w:left="567"/>
        <w:rPr>
          <w:iCs/>
          <w:sz w:val="20"/>
          <w:szCs w:val="20"/>
        </w:rPr>
      </w:pPr>
      <w:r w:rsidRPr="008A4C00">
        <w:rPr>
          <w:iCs/>
          <w:sz w:val="20"/>
          <w:szCs w:val="20"/>
        </w:rPr>
        <w:t>På en pressekonference med Frankrigs Emmanuel Macron 18. maj 2020, foreslog forbundskansler Merkel en tilskudsbaseret genopretningsfond</w:t>
      </w:r>
      <w:r w:rsidR="008C148F" w:rsidRPr="008A4C00">
        <w:rPr>
          <w:iCs/>
          <w:sz w:val="20"/>
          <w:szCs w:val="20"/>
        </w:rPr>
        <w:t xml:space="preserve"> i EU</w:t>
      </w:r>
      <w:r w:rsidR="00A21B9C" w:rsidRPr="008A4C00">
        <w:rPr>
          <w:iCs/>
          <w:sz w:val="20"/>
          <w:szCs w:val="20"/>
        </w:rPr>
        <w:t xml:space="preserve"> i lyset af Coronakrisen.</w:t>
      </w:r>
    </w:p>
    <w:p w14:paraId="1487DBA4" w14:textId="02711417" w:rsidR="00CD0D9A" w:rsidRPr="008A4C00" w:rsidRDefault="00CD0D9A" w:rsidP="008A4C00">
      <w:pPr>
        <w:pStyle w:val="NormalWeb"/>
        <w:spacing w:before="0" w:beforeAutospacing="0" w:after="0" w:afterAutospacing="0"/>
        <w:ind w:left="567"/>
        <w:rPr>
          <w:iCs/>
          <w:sz w:val="20"/>
          <w:szCs w:val="20"/>
        </w:rPr>
      </w:pPr>
      <w:r w:rsidRPr="008A4C00">
        <w:rPr>
          <w:iCs/>
          <w:sz w:val="20"/>
          <w:szCs w:val="20"/>
        </w:rPr>
        <w:t>Hermed accepterede Merkel – i modsætning til under finanskrisen – tilskud, som ikke skal betales tilbage euro for euro. Forklaringen var, at krisen denne gang truede med at trække tæppet væk under den eksportdrevne tyske økonomi, ligesom Merkel reelt frygtede for Italiens fremtidige opbakning til EU-samarbejdet.</w:t>
      </w:r>
    </w:p>
    <w:p w14:paraId="4C4432FF" w14:textId="4746D811" w:rsidR="00CF3FA5" w:rsidRPr="008A4C00" w:rsidRDefault="00CF3FA5" w:rsidP="008A4C00">
      <w:pPr>
        <w:spacing w:after="0" w:line="240" w:lineRule="auto"/>
        <w:ind w:left="567"/>
        <w:rPr>
          <w:rFonts w:ascii="Times New Roman" w:hAnsi="Times New Roman" w:cs="Times New Roman"/>
          <w:iCs/>
          <w:sz w:val="20"/>
          <w:szCs w:val="20"/>
          <w:lang w:val="da-DK"/>
        </w:rPr>
      </w:pPr>
      <w:r w:rsidRPr="008A4C00">
        <w:rPr>
          <w:rFonts w:ascii="Times New Roman" w:hAnsi="Times New Roman" w:cs="Times New Roman"/>
          <w:iCs/>
          <w:sz w:val="20"/>
          <w:szCs w:val="20"/>
          <w:lang w:val="da-DK"/>
        </w:rPr>
        <w:t xml:space="preserve">EU’s stats- og regeringsledere indgik 21.juli 2020 et kompromis om de kommende 7 års budget og en </w:t>
      </w:r>
      <w:r w:rsidR="009F16E4" w:rsidRPr="008A4C00">
        <w:rPr>
          <w:rFonts w:ascii="Times New Roman" w:hAnsi="Times New Roman" w:cs="Times New Roman"/>
          <w:iCs/>
          <w:sz w:val="20"/>
          <w:szCs w:val="20"/>
          <w:lang w:val="da-DK"/>
        </w:rPr>
        <w:t>kombineret låne- og t</w:t>
      </w:r>
      <w:r w:rsidRPr="008A4C00">
        <w:rPr>
          <w:rFonts w:ascii="Times New Roman" w:hAnsi="Times New Roman" w:cs="Times New Roman"/>
          <w:iCs/>
          <w:sz w:val="20"/>
          <w:szCs w:val="20"/>
          <w:lang w:val="da-DK"/>
        </w:rPr>
        <w:t>ilskudsordning</w:t>
      </w:r>
      <w:r w:rsidR="008F33F0" w:rsidRPr="008A4C00">
        <w:rPr>
          <w:rFonts w:ascii="Times New Roman" w:hAnsi="Times New Roman" w:cs="Times New Roman"/>
          <w:iCs/>
          <w:sz w:val="20"/>
          <w:szCs w:val="20"/>
          <w:lang w:val="da-DK"/>
        </w:rPr>
        <w:t>.</w:t>
      </w:r>
    </w:p>
    <w:p w14:paraId="6F653095" w14:textId="1CC52A6C" w:rsidR="00CF3FA5" w:rsidRPr="008A4C00" w:rsidRDefault="00CF3FA5" w:rsidP="008A4C00">
      <w:pPr>
        <w:spacing w:after="0" w:line="240" w:lineRule="auto"/>
        <w:ind w:left="567"/>
        <w:rPr>
          <w:rFonts w:ascii="Times New Roman" w:hAnsi="Times New Roman" w:cs="Times New Roman"/>
          <w:iCs/>
          <w:sz w:val="20"/>
          <w:szCs w:val="20"/>
          <w:lang w:val="da-DK"/>
        </w:rPr>
      </w:pPr>
      <w:r w:rsidRPr="008A4C00">
        <w:rPr>
          <w:rFonts w:ascii="Times New Roman" w:hAnsi="Times New Roman" w:cs="Times New Roman"/>
          <w:iCs/>
          <w:sz w:val="20"/>
          <w:szCs w:val="20"/>
          <w:lang w:val="da-DK"/>
        </w:rPr>
        <w:t>Parlamentet vil ændre på detaljer, men det principielle står fast. Med en genopretningsfond og et syvårigt budget, der fortsætter forårets genopretningspakke på 540 mia. euro og Den Europæiske Centralbanks opkøb af obligationer (”</w:t>
      </w:r>
      <w:proofErr w:type="spellStart"/>
      <w:r w:rsidRPr="008A4C00">
        <w:rPr>
          <w:rFonts w:ascii="Times New Roman" w:hAnsi="Times New Roman" w:cs="Times New Roman"/>
          <w:iCs/>
          <w:sz w:val="20"/>
          <w:szCs w:val="20"/>
          <w:lang w:val="da-DK"/>
        </w:rPr>
        <w:t>coronaopkøbsprogram</w:t>
      </w:r>
      <w:proofErr w:type="spellEnd"/>
      <w:r w:rsidRPr="008A4C00">
        <w:rPr>
          <w:rFonts w:ascii="Times New Roman" w:hAnsi="Times New Roman" w:cs="Times New Roman"/>
          <w:iCs/>
          <w:sz w:val="20"/>
          <w:szCs w:val="20"/>
          <w:lang w:val="da-DK"/>
        </w:rPr>
        <w:t xml:space="preserve">”) på 1.500 mia. euro, har stats- og regeringscheferne fundet et svar på </w:t>
      </w:r>
      <w:r w:rsidR="00A21B9C" w:rsidRPr="008A4C00">
        <w:rPr>
          <w:rFonts w:ascii="Times New Roman" w:hAnsi="Times New Roman" w:cs="Times New Roman"/>
          <w:iCs/>
          <w:sz w:val="20"/>
          <w:szCs w:val="20"/>
          <w:lang w:val="da-DK"/>
        </w:rPr>
        <w:t>C</w:t>
      </w:r>
      <w:r w:rsidRPr="008A4C00">
        <w:rPr>
          <w:rFonts w:ascii="Times New Roman" w:hAnsi="Times New Roman" w:cs="Times New Roman"/>
          <w:iCs/>
          <w:sz w:val="20"/>
          <w:szCs w:val="20"/>
          <w:lang w:val="da-DK"/>
        </w:rPr>
        <w:t>oronakrisen, som den så ud ultimo juli 2020.</w:t>
      </w:r>
    </w:p>
    <w:p w14:paraId="1805BD11" w14:textId="77777777" w:rsidR="00CF3FA5" w:rsidRPr="008A4C00" w:rsidRDefault="00CF3FA5" w:rsidP="008A4C00">
      <w:pPr>
        <w:spacing w:after="0" w:line="240" w:lineRule="auto"/>
        <w:ind w:left="567"/>
        <w:rPr>
          <w:rFonts w:ascii="Times New Roman" w:hAnsi="Times New Roman" w:cs="Times New Roman"/>
          <w:iCs/>
          <w:sz w:val="20"/>
          <w:szCs w:val="20"/>
          <w:lang w:val="da-DK"/>
        </w:rPr>
      </w:pPr>
      <w:r w:rsidRPr="008A4C00">
        <w:rPr>
          <w:rFonts w:ascii="Times New Roman" w:hAnsi="Times New Roman" w:cs="Times New Roman"/>
          <w:iCs/>
          <w:sz w:val="20"/>
          <w:szCs w:val="20"/>
          <w:lang w:val="da-DK"/>
        </w:rPr>
        <w:t>Værdien af hele genopretningsfonden udgør op mod 5% af EU’s totale BNP – dog fordelt over en række år.</w:t>
      </w:r>
    </w:p>
    <w:p w14:paraId="2F32EF3F" w14:textId="34EEC6A1" w:rsidR="00CF3FA5" w:rsidRPr="008A4C00" w:rsidRDefault="00CF3FA5" w:rsidP="008A4C00">
      <w:pPr>
        <w:spacing w:after="0" w:line="240" w:lineRule="auto"/>
        <w:ind w:left="567"/>
        <w:rPr>
          <w:rFonts w:ascii="Times New Roman" w:hAnsi="Times New Roman" w:cs="Times New Roman"/>
          <w:iCs/>
          <w:sz w:val="20"/>
          <w:szCs w:val="20"/>
          <w:lang w:val="da-DK"/>
        </w:rPr>
      </w:pPr>
      <w:r w:rsidRPr="008A4C00">
        <w:rPr>
          <w:rFonts w:ascii="Times New Roman" w:hAnsi="Times New Roman" w:cs="Times New Roman"/>
          <w:iCs/>
          <w:sz w:val="20"/>
          <w:szCs w:val="20"/>
          <w:lang w:val="da-DK"/>
        </w:rPr>
        <w:t>Hermed viste stats- og regeringslederne en vilje til fælles handling over</w:t>
      </w:r>
      <w:r w:rsidR="008A4C00">
        <w:rPr>
          <w:rFonts w:ascii="Times New Roman" w:hAnsi="Times New Roman" w:cs="Times New Roman"/>
          <w:iCs/>
          <w:sz w:val="20"/>
          <w:szCs w:val="20"/>
          <w:lang w:val="da-DK"/>
        </w:rPr>
        <w:t xml:space="preserve"> </w:t>
      </w:r>
      <w:r w:rsidRPr="008A4C00">
        <w:rPr>
          <w:rFonts w:ascii="Times New Roman" w:hAnsi="Times New Roman" w:cs="Times New Roman"/>
          <w:iCs/>
          <w:sz w:val="20"/>
          <w:szCs w:val="20"/>
          <w:lang w:val="da-DK"/>
        </w:rPr>
        <w:t xml:space="preserve">for pandemien trods splittelsen mellem på den ene side lande med begrænset gæld </w:t>
      </w:r>
      <w:r w:rsidR="006A2824" w:rsidRPr="008A4C00">
        <w:rPr>
          <w:rFonts w:ascii="Times New Roman" w:hAnsi="Times New Roman" w:cs="Times New Roman"/>
          <w:iCs/>
          <w:sz w:val="20"/>
          <w:szCs w:val="20"/>
          <w:lang w:val="da-DK"/>
        </w:rPr>
        <w:t xml:space="preserve">(f.eks. de sparsommelige fire det vil sige Danmark, Sverige, Holland og Østrig) </w:t>
      </w:r>
      <w:r w:rsidRPr="008A4C00">
        <w:rPr>
          <w:rFonts w:ascii="Times New Roman" w:hAnsi="Times New Roman" w:cs="Times New Roman"/>
          <w:iCs/>
          <w:sz w:val="20"/>
          <w:szCs w:val="20"/>
          <w:lang w:val="da-DK"/>
        </w:rPr>
        <w:t xml:space="preserve">og forholdsvist få tilfælde af </w:t>
      </w:r>
      <w:proofErr w:type="spellStart"/>
      <w:r w:rsidRPr="008A4C00">
        <w:rPr>
          <w:rFonts w:ascii="Times New Roman" w:hAnsi="Times New Roman" w:cs="Times New Roman"/>
          <w:iCs/>
          <w:sz w:val="20"/>
          <w:szCs w:val="20"/>
          <w:lang w:val="da-DK"/>
        </w:rPr>
        <w:t>corona</w:t>
      </w:r>
      <w:proofErr w:type="spellEnd"/>
      <w:r w:rsidRPr="008A4C00">
        <w:rPr>
          <w:rFonts w:ascii="Times New Roman" w:hAnsi="Times New Roman" w:cs="Times New Roman"/>
          <w:iCs/>
          <w:sz w:val="20"/>
          <w:szCs w:val="20"/>
          <w:lang w:val="da-DK"/>
        </w:rPr>
        <w:t xml:space="preserve"> </w:t>
      </w:r>
      <w:r w:rsidR="006A2824" w:rsidRPr="008A4C00">
        <w:rPr>
          <w:rFonts w:ascii="Times New Roman" w:hAnsi="Times New Roman" w:cs="Times New Roman"/>
          <w:iCs/>
          <w:sz w:val="20"/>
          <w:szCs w:val="20"/>
          <w:lang w:val="da-DK"/>
        </w:rPr>
        <w:t xml:space="preserve">(f.eks. Danmark) </w:t>
      </w:r>
      <w:r w:rsidRPr="008A4C00">
        <w:rPr>
          <w:rFonts w:ascii="Times New Roman" w:hAnsi="Times New Roman" w:cs="Times New Roman"/>
          <w:iCs/>
          <w:sz w:val="20"/>
          <w:szCs w:val="20"/>
          <w:lang w:val="da-DK"/>
        </w:rPr>
        <w:t xml:space="preserve">og på den anden side lande med mange tilfælde af </w:t>
      </w:r>
      <w:proofErr w:type="spellStart"/>
      <w:r w:rsidRPr="008A4C00">
        <w:rPr>
          <w:rFonts w:ascii="Times New Roman" w:hAnsi="Times New Roman" w:cs="Times New Roman"/>
          <w:iCs/>
          <w:sz w:val="20"/>
          <w:szCs w:val="20"/>
          <w:lang w:val="da-DK"/>
        </w:rPr>
        <w:t>corona</w:t>
      </w:r>
      <w:proofErr w:type="spellEnd"/>
      <w:r w:rsidRPr="008A4C00">
        <w:rPr>
          <w:rFonts w:ascii="Times New Roman" w:hAnsi="Times New Roman" w:cs="Times New Roman"/>
          <w:iCs/>
          <w:sz w:val="20"/>
          <w:szCs w:val="20"/>
          <w:lang w:val="da-DK"/>
        </w:rPr>
        <w:t xml:space="preserve"> og stor gæld (især Italien og Spanien)</w:t>
      </w:r>
    </w:p>
    <w:p w14:paraId="501114F5" w14:textId="77777777" w:rsidR="00CF3FA5" w:rsidRPr="008A4C00" w:rsidRDefault="00CF3FA5" w:rsidP="008A4C00">
      <w:pPr>
        <w:spacing w:after="0" w:line="240" w:lineRule="auto"/>
        <w:ind w:left="567"/>
        <w:rPr>
          <w:rFonts w:ascii="Times New Roman" w:hAnsi="Times New Roman" w:cs="Times New Roman"/>
          <w:iCs/>
          <w:sz w:val="20"/>
          <w:szCs w:val="20"/>
          <w:lang w:val="da-DK"/>
        </w:rPr>
      </w:pPr>
      <w:r w:rsidRPr="008A4C00">
        <w:rPr>
          <w:rFonts w:ascii="Times New Roman" w:hAnsi="Times New Roman" w:cs="Times New Roman"/>
          <w:iCs/>
          <w:sz w:val="20"/>
          <w:szCs w:val="20"/>
          <w:lang w:val="da-DK"/>
        </w:rPr>
        <w:t>Uden en både pengepolitisk og finanspolitisk hjælp, ville de hårdt ramte lande kunne trække hele unionen ud i en alvorlig krise eller i opløsning.</w:t>
      </w:r>
    </w:p>
    <w:p w14:paraId="7C297882" w14:textId="7E9F17A8" w:rsidR="00CF3FA5" w:rsidRPr="008A4C00" w:rsidRDefault="00CF3FA5" w:rsidP="008A4C00">
      <w:pPr>
        <w:pStyle w:val="NormalWeb"/>
        <w:spacing w:before="0" w:beforeAutospacing="0" w:after="0" w:afterAutospacing="0"/>
        <w:ind w:left="567"/>
        <w:rPr>
          <w:iCs/>
          <w:sz w:val="20"/>
          <w:szCs w:val="20"/>
        </w:rPr>
      </w:pPr>
      <w:r w:rsidRPr="008A4C00">
        <w:rPr>
          <w:iCs/>
          <w:sz w:val="20"/>
          <w:szCs w:val="20"/>
        </w:rPr>
        <w:t>Spørgsmålet er imidlertid,</w:t>
      </w:r>
      <w:r w:rsidR="00545C50" w:rsidRPr="008A4C00">
        <w:rPr>
          <w:iCs/>
          <w:sz w:val="20"/>
          <w:szCs w:val="20"/>
        </w:rPr>
        <w:t xml:space="preserve"> </w:t>
      </w:r>
      <w:r w:rsidRPr="008A4C00">
        <w:rPr>
          <w:iCs/>
          <w:sz w:val="20"/>
          <w:szCs w:val="20"/>
        </w:rPr>
        <w:t>hvor banebrydende den tilskudsbaserede genopretningsfond for Europas fremtidige økonomiske politik</w:t>
      </w:r>
      <w:r w:rsidR="00090648" w:rsidRPr="008A4C00">
        <w:rPr>
          <w:iCs/>
          <w:sz w:val="20"/>
          <w:szCs w:val="20"/>
        </w:rPr>
        <w:t xml:space="preserve"> bliver.</w:t>
      </w:r>
    </w:p>
    <w:p w14:paraId="5E00FB60" w14:textId="03DBEC41" w:rsidR="00CF3FA5" w:rsidRPr="008A4C00" w:rsidRDefault="00CF3FA5" w:rsidP="008A4C00">
      <w:pPr>
        <w:pStyle w:val="NormalWeb"/>
        <w:spacing w:before="0" w:beforeAutospacing="0" w:after="0" w:afterAutospacing="0"/>
        <w:ind w:left="567"/>
        <w:rPr>
          <w:iCs/>
          <w:sz w:val="20"/>
          <w:szCs w:val="20"/>
        </w:rPr>
      </w:pPr>
      <w:r w:rsidRPr="008A4C00">
        <w:rPr>
          <w:iCs/>
          <w:sz w:val="20"/>
          <w:szCs w:val="20"/>
        </w:rPr>
        <w:t xml:space="preserve">Macron talte varmt om topmødet som et »historisk øjeblik«, der også vil åbne døren for en europæisk finansminister. Merkel var derimod langt mere afdæmpet og nøjedes med at bruge betegnelsen ”ekstraordinær”, hvor EU-tilskud baseret på fælles låntagning kun </w:t>
      </w:r>
      <w:r w:rsidR="003E0249" w:rsidRPr="008A4C00">
        <w:rPr>
          <w:iCs/>
          <w:sz w:val="20"/>
          <w:szCs w:val="20"/>
        </w:rPr>
        <w:t xml:space="preserve">kan </w:t>
      </w:r>
      <w:r w:rsidRPr="008A4C00">
        <w:rPr>
          <w:iCs/>
          <w:sz w:val="20"/>
          <w:szCs w:val="20"/>
        </w:rPr>
        <w:t>forsvares i dette helt særlige tilfælde</w:t>
      </w:r>
    </w:p>
    <w:p w14:paraId="66B87E4B" w14:textId="0EE51C0E" w:rsidR="00CF3FA5" w:rsidRPr="008A4C00" w:rsidRDefault="00CF3FA5" w:rsidP="008A4C00">
      <w:pPr>
        <w:pStyle w:val="NormalWeb"/>
        <w:spacing w:before="0" w:beforeAutospacing="0" w:after="0" w:afterAutospacing="0"/>
        <w:ind w:left="567"/>
        <w:rPr>
          <w:iCs/>
          <w:sz w:val="20"/>
          <w:szCs w:val="20"/>
        </w:rPr>
      </w:pPr>
      <w:r w:rsidRPr="008A4C00">
        <w:rPr>
          <w:iCs/>
          <w:sz w:val="20"/>
          <w:szCs w:val="20"/>
        </w:rPr>
        <w:t xml:space="preserve">Genopretningsfonden er ikke udtryk for, at landenes gæld bliver langt ”i en fælles kasse”, og der bliver heller ikke skabt nye institutioner, som det skete under Eurokrisen efter 2009(se bogen s. 237). </w:t>
      </w:r>
    </w:p>
    <w:p w14:paraId="14EF2F61" w14:textId="77777777" w:rsidR="008A4C00" w:rsidRDefault="008A4C00" w:rsidP="008E5157">
      <w:pPr>
        <w:spacing w:after="0"/>
        <w:rPr>
          <w:rFonts w:ascii="Times New Roman" w:hAnsi="Times New Roman" w:cs="Times New Roman"/>
          <w:b/>
          <w:bCs/>
          <w:sz w:val="20"/>
          <w:szCs w:val="20"/>
          <w:lang w:val="da-DK"/>
        </w:rPr>
      </w:pPr>
    </w:p>
    <w:p w14:paraId="1101CE47" w14:textId="288BC41C" w:rsidR="00CF3FA5" w:rsidRPr="00C42574" w:rsidRDefault="000D61B2" w:rsidP="008E5157">
      <w:pPr>
        <w:spacing w:after="0"/>
        <w:rPr>
          <w:rFonts w:ascii="Times New Roman" w:hAnsi="Times New Roman" w:cs="Times New Roman"/>
          <w:b/>
          <w:bCs/>
          <w:sz w:val="20"/>
          <w:szCs w:val="20"/>
          <w:lang w:val="da-DK"/>
        </w:rPr>
      </w:pPr>
      <w:r w:rsidRPr="00C42574">
        <w:rPr>
          <w:rFonts w:ascii="Times New Roman" w:hAnsi="Times New Roman" w:cs="Times New Roman"/>
          <w:b/>
          <w:bCs/>
          <w:sz w:val="20"/>
          <w:szCs w:val="20"/>
          <w:lang w:val="da-DK"/>
        </w:rPr>
        <w:lastRenderedPageBreak/>
        <w:t>5.23</w:t>
      </w:r>
    </w:p>
    <w:p w14:paraId="691B0FB6" w14:textId="095A69CA" w:rsidR="005D5DB8" w:rsidRDefault="005D5DB8" w:rsidP="008E5157">
      <w:pPr>
        <w:spacing w:after="0"/>
        <w:rPr>
          <w:rFonts w:ascii="Times New Roman" w:hAnsi="Times New Roman" w:cs="Times New Roman"/>
          <w:sz w:val="20"/>
          <w:szCs w:val="20"/>
          <w:lang w:val="da-DK"/>
        </w:rPr>
      </w:pPr>
      <w:r>
        <w:rPr>
          <w:rFonts w:ascii="Times New Roman" w:hAnsi="Times New Roman" w:cs="Times New Roman"/>
          <w:sz w:val="20"/>
          <w:szCs w:val="20"/>
          <w:lang w:val="da-DK"/>
        </w:rPr>
        <w:t>I foråret og sommeren 2021 løb en diskussion om bankernes negative renter på større indskud på kundernes bankkonti</w:t>
      </w:r>
      <w:r w:rsidR="008F0187">
        <w:rPr>
          <w:rFonts w:ascii="Times New Roman" w:hAnsi="Times New Roman" w:cs="Times New Roman"/>
          <w:sz w:val="20"/>
          <w:szCs w:val="20"/>
          <w:lang w:val="da-DK"/>
        </w:rPr>
        <w:t>.</w:t>
      </w:r>
    </w:p>
    <w:p w14:paraId="6C991F6E" w14:textId="37B640EE" w:rsidR="008F0187" w:rsidRDefault="008F0187" w:rsidP="008E5157">
      <w:pPr>
        <w:spacing w:after="0"/>
        <w:rPr>
          <w:rFonts w:ascii="Times New Roman" w:hAnsi="Times New Roman" w:cs="Times New Roman"/>
          <w:sz w:val="20"/>
          <w:szCs w:val="20"/>
          <w:lang w:val="da-DK"/>
        </w:rPr>
      </w:pPr>
      <w:r>
        <w:rPr>
          <w:rFonts w:ascii="Times New Roman" w:hAnsi="Times New Roman" w:cs="Times New Roman"/>
          <w:sz w:val="20"/>
          <w:szCs w:val="20"/>
          <w:lang w:val="da-DK"/>
        </w:rPr>
        <w:t>Diskussionen blev b</w:t>
      </w:r>
      <w:r w:rsidR="00253BA5">
        <w:rPr>
          <w:rFonts w:ascii="Times New Roman" w:hAnsi="Times New Roman" w:cs="Times New Roman"/>
          <w:sz w:val="20"/>
          <w:szCs w:val="20"/>
          <w:lang w:val="da-DK"/>
        </w:rPr>
        <w:t>l</w:t>
      </w:r>
      <w:r>
        <w:rPr>
          <w:rFonts w:ascii="Times New Roman" w:hAnsi="Times New Roman" w:cs="Times New Roman"/>
          <w:sz w:val="20"/>
          <w:szCs w:val="20"/>
          <w:lang w:val="da-DK"/>
        </w:rPr>
        <w:t xml:space="preserve">andt andet rejst af </w:t>
      </w:r>
      <w:r w:rsidR="004861DF">
        <w:rPr>
          <w:rFonts w:ascii="Times New Roman" w:hAnsi="Times New Roman" w:cs="Times New Roman"/>
          <w:sz w:val="20"/>
          <w:szCs w:val="20"/>
          <w:lang w:val="da-DK"/>
        </w:rPr>
        <w:t>erhvervsminister</w:t>
      </w:r>
      <w:r>
        <w:rPr>
          <w:rFonts w:ascii="Times New Roman" w:hAnsi="Times New Roman" w:cs="Times New Roman"/>
          <w:sz w:val="20"/>
          <w:szCs w:val="20"/>
          <w:lang w:val="da-DK"/>
        </w:rPr>
        <w:t xml:space="preserve"> Simon Kollerup og i</w:t>
      </w:r>
      <w:r w:rsidR="004861DF">
        <w:rPr>
          <w:rFonts w:ascii="Times New Roman" w:hAnsi="Times New Roman" w:cs="Times New Roman"/>
          <w:sz w:val="20"/>
          <w:szCs w:val="20"/>
          <w:lang w:val="da-DK"/>
        </w:rPr>
        <w:t xml:space="preserve"> </w:t>
      </w:r>
      <w:r>
        <w:rPr>
          <w:rFonts w:ascii="Times New Roman" w:hAnsi="Times New Roman" w:cs="Times New Roman"/>
          <w:sz w:val="20"/>
          <w:szCs w:val="20"/>
          <w:lang w:val="da-DK"/>
        </w:rPr>
        <w:t>en artikel i</w:t>
      </w:r>
      <w:r w:rsidR="004861DF">
        <w:rPr>
          <w:rFonts w:ascii="Times New Roman" w:hAnsi="Times New Roman" w:cs="Times New Roman"/>
          <w:sz w:val="20"/>
          <w:szCs w:val="20"/>
          <w:lang w:val="da-DK"/>
        </w:rPr>
        <w:t xml:space="preserve"> </w:t>
      </w:r>
      <w:r>
        <w:rPr>
          <w:rFonts w:ascii="Times New Roman" w:hAnsi="Times New Roman" w:cs="Times New Roman"/>
          <w:sz w:val="20"/>
          <w:szCs w:val="20"/>
          <w:lang w:val="da-DK"/>
        </w:rPr>
        <w:t>dagbladet Børsen</w:t>
      </w:r>
      <w:r w:rsidR="00F066AE">
        <w:rPr>
          <w:rFonts w:ascii="Times New Roman" w:hAnsi="Times New Roman" w:cs="Times New Roman"/>
          <w:sz w:val="20"/>
          <w:szCs w:val="20"/>
          <w:lang w:val="da-DK"/>
        </w:rPr>
        <w:t>.</w:t>
      </w:r>
    </w:p>
    <w:p w14:paraId="535FA98F" w14:textId="37D7101B" w:rsidR="00F066AE" w:rsidRDefault="00F066AE" w:rsidP="008E5157">
      <w:pPr>
        <w:spacing w:after="0"/>
        <w:rPr>
          <w:rFonts w:ascii="Times New Roman" w:hAnsi="Times New Roman" w:cs="Times New Roman"/>
          <w:sz w:val="20"/>
          <w:szCs w:val="20"/>
          <w:lang w:val="da-DK"/>
        </w:rPr>
      </w:pPr>
      <w:r>
        <w:rPr>
          <w:rFonts w:ascii="Times New Roman" w:hAnsi="Times New Roman" w:cs="Times New Roman"/>
          <w:sz w:val="20"/>
          <w:szCs w:val="20"/>
          <w:lang w:val="da-DK"/>
        </w:rPr>
        <w:t xml:space="preserve">Bankernes interesseorganisation svarede på </w:t>
      </w:r>
      <w:r w:rsidR="005E2CD0">
        <w:rPr>
          <w:rFonts w:ascii="Times New Roman" w:hAnsi="Times New Roman" w:cs="Times New Roman"/>
          <w:sz w:val="20"/>
          <w:szCs w:val="20"/>
          <w:lang w:val="da-DK"/>
        </w:rPr>
        <w:t>kritikken af de negative renter i</w:t>
      </w:r>
      <w:r w:rsidR="004861DF">
        <w:rPr>
          <w:rFonts w:ascii="Times New Roman" w:hAnsi="Times New Roman" w:cs="Times New Roman"/>
          <w:sz w:val="20"/>
          <w:szCs w:val="20"/>
          <w:lang w:val="da-DK"/>
        </w:rPr>
        <w:t xml:space="preserve"> </w:t>
      </w:r>
      <w:r w:rsidR="005E2CD0">
        <w:rPr>
          <w:rFonts w:ascii="Times New Roman" w:hAnsi="Times New Roman" w:cs="Times New Roman"/>
          <w:sz w:val="20"/>
          <w:szCs w:val="20"/>
          <w:lang w:val="da-DK"/>
        </w:rPr>
        <w:t>nedens</w:t>
      </w:r>
      <w:r w:rsidR="004861DF">
        <w:rPr>
          <w:rFonts w:ascii="Times New Roman" w:hAnsi="Times New Roman" w:cs="Times New Roman"/>
          <w:sz w:val="20"/>
          <w:szCs w:val="20"/>
          <w:lang w:val="da-DK"/>
        </w:rPr>
        <w:t>t</w:t>
      </w:r>
      <w:r w:rsidR="005E2CD0">
        <w:rPr>
          <w:rFonts w:ascii="Times New Roman" w:hAnsi="Times New Roman" w:cs="Times New Roman"/>
          <w:sz w:val="20"/>
          <w:szCs w:val="20"/>
          <w:lang w:val="da-DK"/>
        </w:rPr>
        <w:t>ående indlæg.</w:t>
      </w:r>
    </w:p>
    <w:p w14:paraId="13578CAD" w14:textId="2175A2B5" w:rsidR="005E2CD0" w:rsidRDefault="00253BA5" w:rsidP="008E5157">
      <w:pPr>
        <w:spacing w:after="0"/>
        <w:rPr>
          <w:rFonts w:ascii="Times New Roman" w:hAnsi="Times New Roman" w:cs="Times New Roman"/>
          <w:sz w:val="20"/>
          <w:szCs w:val="20"/>
          <w:lang w:val="da-DK"/>
        </w:rPr>
      </w:pPr>
      <w:r>
        <w:rPr>
          <w:rFonts w:ascii="Times New Roman" w:hAnsi="Times New Roman" w:cs="Times New Roman"/>
          <w:sz w:val="20"/>
          <w:szCs w:val="20"/>
          <w:lang w:val="da-DK"/>
        </w:rPr>
        <w:t>Gennemgå argumenter for og imod negative indlånsrenter.</w:t>
      </w:r>
    </w:p>
    <w:p w14:paraId="38EFAE0E" w14:textId="5DF520AE" w:rsidR="00584494" w:rsidRDefault="00584494" w:rsidP="008E5157">
      <w:pPr>
        <w:spacing w:after="0"/>
        <w:rPr>
          <w:rFonts w:ascii="Times New Roman" w:hAnsi="Times New Roman" w:cs="Times New Roman"/>
          <w:sz w:val="20"/>
          <w:szCs w:val="20"/>
          <w:lang w:val="da-DK"/>
        </w:rPr>
      </w:pPr>
    </w:p>
    <w:tbl>
      <w:tblPr>
        <w:tblW w:w="5000" w:type="pct"/>
        <w:tblCellMar>
          <w:left w:w="0" w:type="dxa"/>
          <w:right w:w="0" w:type="dxa"/>
        </w:tblCellMar>
        <w:tblLook w:val="04A0" w:firstRow="1" w:lastRow="0" w:firstColumn="1" w:lastColumn="0" w:noHBand="0" w:noVBand="1"/>
      </w:tblPr>
      <w:tblGrid>
        <w:gridCol w:w="9638"/>
      </w:tblGrid>
      <w:tr w:rsidR="00584494" w:rsidRPr="008A4C00" w14:paraId="22A88C94" w14:textId="77777777" w:rsidTr="0058449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584494" w:rsidRPr="008A4C00" w14:paraId="7FB7058C" w14:textId="77777777">
              <w:tc>
                <w:tcPr>
                  <w:tcW w:w="0" w:type="auto"/>
                  <w:tcMar>
                    <w:top w:w="0" w:type="dxa"/>
                    <w:left w:w="270" w:type="dxa"/>
                    <w:bottom w:w="135" w:type="dxa"/>
                    <w:right w:w="270" w:type="dxa"/>
                  </w:tcMar>
                  <w:hideMark/>
                </w:tcPr>
                <w:p w14:paraId="6C186A68" w14:textId="77777777" w:rsidR="00584494" w:rsidRPr="008A4C00" w:rsidRDefault="00584494" w:rsidP="0000147B">
                  <w:pPr>
                    <w:pStyle w:val="Overskrift4"/>
                    <w:spacing w:before="0" w:line="240" w:lineRule="auto"/>
                    <w:ind w:left="567"/>
                    <w:rPr>
                      <w:rFonts w:ascii="Times New Roman" w:hAnsi="Times New Roman" w:cs="Times New Roman"/>
                      <w:b/>
                      <w:color w:val="202020"/>
                      <w:sz w:val="20"/>
                      <w:szCs w:val="20"/>
                      <w:lang w:val="da-DK"/>
                    </w:rPr>
                  </w:pPr>
                  <w:r w:rsidRPr="008A4C00">
                    <w:rPr>
                      <w:rFonts w:ascii="Times New Roman" w:hAnsi="Times New Roman" w:cs="Times New Roman"/>
                      <w:b/>
                      <w:color w:val="202020"/>
                      <w:sz w:val="20"/>
                      <w:szCs w:val="20"/>
                      <w:lang w:val="da-DK"/>
                    </w:rPr>
                    <w:t>Bankerne har ikke en overskudsforretning på negative renter til privatkunder</w:t>
                  </w:r>
                </w:p>
              </w:tc>
            </w:tr>
          </w:tbl>
          <w:p w14:paraId="2B5CD01C" w14:textId="77777777" w:rsidR="00584494" w:rsidRPr="008A4C00" w:rsidRDefault="00584494" w:rsidP="0000147B">
            <w:pPr>
              <w:spacing w:after="0" w:line="240" w:lineRule="auto"/>
              <w:ind w:left="567"/>
              <w:rPr>
                <w:rFonts w:ascii="Times New Roman" w:hAnsi="Times New Roman" w:cs="Times New Roman"/>
                <w:sz w:val="20"/>
                <w:szCs w:val="20"/>
                <w:lang w:val="da-DK"/>
              </w:rPr>
            </w:pPr>
          </w:p>
        </w:tc>
      </w:tr>
    </w:tbl>
    <w:p w14:paraId="3725CB67" w14:textId="77777777" w:rsidR="00584494" w:rsidRPr="008A4C00" w:rsidRDefault="00584494" w:rsidP="0000147B">
      <w:pPr>
        <w:spacing w:after="0" w:line="240" w:lineRule="auto"/>
        <w:ind w:left="567"/>
        <w:rPr>
          <w:rFonts w:ascii="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9638"/>
      </w:tblGrid>
      <w:tr w:rsidR="00584494" w:rsidRPr="008A4C00" w14:paraId="7816A68A" w14:textId="77777777" w:rsidTr="0058449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584494" w:rsidRPr="008A4C00" w14:paraId="501A4274" w14:textId="77777777">
              <w:tc>
                <w:tcPr>
                  <w:tcW w:w="0" w:type="auto"/>
                  <w:tcMar>
                    <w:top w:w="0" w:type="dxa"/>
                    <w:left w:w="270" w:type="dxa"/>
                    <w:bottom w:w="135" w:type="dxa"/>
                    <w:right w:w="270" w:type="dxa"/>
                  </w:tcMar>
                  <w:hideMark/>
                </w:tcPr>
                <w:p w14:paraId="3FF90CC1" w14:textId="316412E1" w:rsidR="00584494" w:rsidRDefault="00584494" w:rsidP="0000147B">
                  <w:pPr>
                    <w:pStyle w:val="NormalWeb"/>
                    <w:spacing w:before="0" w:beforeAutospacing="0" w:after="0" w:afterAutospacing="0"/>
                    <w:ind w:left="567"/>
                    <w:rPr>
                      <w:color w:val="202020"/>
                      <w:sz w:val="20"/>
                      <w:szCs w:val="20"/>
                    </w:rPr>
                  </w:pPr>
                  <w:r w:rsidRPr="008A4C00">
                    <w:rPr>
                      <w:color w:val="202020"/>
                      <w:sz w:val="20"/>
                      <w:szCs w:val="20"/>
                    </w:rPr>
                    <w:t>Børsen skrev fredag d. 7. maj på forsiden, at "Banker tjener milliarder på kunders indlån" på baggrund af tal fra analysefirmaet Bankresearch. Men tallene fra Bankresearch overser det faktum, at de penge som bankerne har placeret i Nationalbanken, kun udgør en lille del af den likviditet, som bankerne er tvunget til samlet at placere til negative renter. Finans Danmark fastholder og dokumenterer med en ny analyse, at bankerne fortsat taber penge på indlån fra privatkunder, selv med en grænse for negative renter på 100.000 kr.</w:t>
                  </w:r>
                </w:p>
                <w:p w14:paraId="67350014" w14:textId="77777777" w:rsidR="008A4C00" w:rsidRPr="008A4C00" w:rsidRDefault="008A4C00" w:rsidP="0000147B">
                  <w:pPr>
                    <w:pStyle w:val="NormalWeb"/>
                    <w:spacing w:before="0" w:beforeAutospacing="0" w:after="0" w:afterAutospacing="0"/>
                    <w:ind w:left="567"/>
                    <w:rPr>
                      <w:color w:val="202020"/>
                      <w:sz w:val="20"/>
                      <w:szCs w:val="20"/>
                    </w:rPr>
                  </w:pPr>
                </w:p>
                <w:p w14:paraId="506B15E3" w14:textId="77777777" w:rsidR="00584494" w:rsidRPr="008A4C00" w:rsidRDefault="00584494" w:rsidP="0000147B">
                  <w:pPr>
                    <w:pStyle w:val="NormalWeb"/>
                    <w:spacing w:before="0" w:beforeAutospacing="0" w:after="0" w:afterAutospacing="0"/>
                    <w:ind w:left="567"/>
                    <w:rPr>
                      <w:color w:val="202020"/>
                      <w:sz w:val="20"/>
                      <w:szCs w:val="20"/>
                    </w:rPr>
                  </w:pPr>
                  <w:r w:rsidRPr="008A4C00">
                    <w:rPr>
                      <w:rStyle w:val="Strk"/>
                      <w:color w:val="202020"/>
                      <w:sz w:val="20"/>
                      <w:szCs w:val="20"/>
                    </w:rPr>
                    <w:t>Største indlånsoverskud siden 2005</w:t>
                  </w:r>
                </w:p>
                <w:p w14:paraId="37339423"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Danskerne har i de senere år sparet stadig mere op, samtidig med at efterspørgslen efter lån ikke har kunnet følge med i samme tempo. Derfor er der opbygget et meget stort indlånsoverskud i bankerne, som i marts 2021 udgjorde over 617 mia. kr. Det er væsentligt mere end de knap 130 mia. kr. bankerne i dag har placeret i Nationalbanken til negativ rente.</w:t>
                  </w:r>
                </w:p>
                <w:p w14:paraId="50C6C10E"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Resten og dermed langt hovedparten af indlånsoverskuddet er placeret i kapitalmarkederne i form af korte stats- og realkreditobligationer. Og da Nationalbankens rentesatser styrer renterne på disse aktiver, rammes bankerne også her af negative renter. Disse aktiver er udeladt i Bankresearchs analyse, antageligt fordi de har en positiv kuponrente, men efter kursreguleringer er den effektive rente negativ. Dermed er Bankresearchs beregning misvisende.</w:t>
                  </w:r>
                </w:p>
                <w:p w14:paraId="73E914B8" w14:textId="7750DDE6" w:rsidR="00584494" w:rsidRDefault="00584494" w:rsidP="0000147B">
                  <w:pPr>
                    <w:pStyle w:val="NormalWeb"/>
                    <w:spacing w:before="0" w:beforeAutospacing="0" w:after="0" w:afterAutospacing="0"/>
                    <w:ind w:left="567"/>
                    <w:rPr>
                      <w:color w:val="202020"/>
                      <w:sz w:val="20"/>
                      <w:szCs w:val="20"/>
                    </w:rPr>
                  </w:pPr>
                  <w:r w:rsidRPr="008A4C00">
                    <w:rPr>
                      <w:color w:val="202020"/>
                      <w:sz w:val="20"/>
                      <w:szCs w:val="20"/>
                    </w:rPr>
                    <w:t>Endelig er der krav om, at bankerne skal holde en stor likviditetsreserve, der typisk er placeret i relativt sikre og likvide aktiver, som også bærer en negativ rente – reserven udgør p.t. 1.041 mia. kr. Bankerne skal altså placere langt flere penge i likvide aktiver, end de har stående i Nationalbanken, og det sker til negative renter, uanset om det sker i Nationalbanken, udlån i pengemarkedet eller køb af obligationer.</w:t>
                  </w:r>
                </w:p>
                <w:p w14:paraId="745DAA33" w14:textId="77777777" w:rsidR="008A4C00" w:rsidRPr="008A4C00" w:rsidRDefault="008A4C00" w:rsidP="0000147B">
                  <w:pPr>
                    <w:pStyle w:val="NormalWeb"/>
                    <w:spacing w:before="0" w:beforeAutospacing="0" w:after="0" w:afterAutospacing="0"/>
                    <w:ind w:left="567"/>
                    <w:rPr>
                      <w:color w:val="202020"/>
                      <w:sz w:val="20"/>
                      <w:szCs w:val="20"/>
                    </w:rPr>
                  </w:pPr>
                </w:p>
                <w:p w14:paraId="4FCCC07E" w14:textId="77777777" w:rsidR="00584494" w:rsidRPr="008A4C00" w:rsidRDefault="00584494" w:rsidP="0000147B">
                  <w:pPr>
                    <w:pStyle w:val="NormalWeb"/>
                    <w:spacing w:before="0" w:beforeAutospacing="0" w:after="0" w:afterAutospacing="0"/>
                    <w:ind w:left="567"/>
                    <w:rPr>
                      <w:color w:val="202020"/>
                      <w:sz w:val="20"/>
                      <w:szCs w:val="20"/>
                    </w:rPr>
                  </w:pPr>
                  <w:r w:rsidRPr="008A4C00">
                    <w:rPr>
                      <w:rStyle w:val="Strk"/>
                      <w:color w:val="202020"/>
                      <w:sz w:val="20"/>
                      <w:szCs w:val="20"/>
                    </w:rPr>
                    <w:t>Regnestykket viser en underskudsforretning</w:t>
                  </w:r>
                </w:p>
                <w:p w14:paraId="7D01801B"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Finans Danmark har i sin analyse fokuseret på indskud fra bankernes privatkunder. Den seneste opgørelse af danskernes indskud i bankerne lyder på 1.023 mia. kr. Når bankerne placerer disse indlån til de negative renter, der gælder både i Nationalbanken og for korte stats- og realkreditobligationer, giver det en samlet udgift på 5,0 mia. kr. Det overstiger det beløb, som bankerne får ind – både hvis grænsen for negative renter til privatkunder sættes til 100.000 kr., 250.000 kr. og hvis ikke der tages negative renter, jf. figur 1.</w:t>
                  </w:r>
                </w:p>
                <w:p w14:paraId="5CB95DEB" w14:textId="77777777" w:rsid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Regnestykket bekræfter således, at det ved gældende rentesatser i de finansielle markeder isoleret set er en underskudsforretning for b</w:t>
                  </w:r>
                </w:p>
                <w:p w14:paraId="3D9C7FF3" w14:textId="25CDE923" w:rsidR="00584494" w:rsidRDefault="00584494" w:rsidP="0000147B">
                  <w:pPr>
                    <w:pStyle w:val="NormalWeb"/>
                    <w:spacing w:before="0" w:beforeAutospacing="0" w:after="0" w:afterAutospacing="0"/>
                    <w:ind w:left="567"/>
                    <w:rPr>
                      <w:color w:val="202020"/>
                      <w:sz w:val="20"/>
                      <w:szCs w:val="20"/>
                    </w:rPr>
                  </w:pPr>
                  <w:r w:rsidRPr="008A4C00">
                    <w:rPr>
                      <w:color w:val="202020"/>
                      <w:sz w:val="20"/>
                      <w:szCs w:val="20"/>
                    </w:rPr>
                    <w:t>ankerne at tage imod indlån fra privatkunder – selv ved en grænse på negative renter på 100.000 kr.</w:t>
                  </w:r>
                </w:p>
                <w:p w14:paraId="6775AB32" w14:textId="77777777" w:rsidR="0000147B" w:rsidRPr="008A4C00" w:rsidRDefault="0000147B" w:rsidP="0000147B">
                  <w:pPr>
                    <w:pStyle w:val="NormalWeb"/>
                    <w:spacing w:before="0" w:beforeAutospacing="0" w:after="0" w:afterAutospacing="0"/>
                    <w:ind w:left="567"/>
                    <w:rPr>
                      <w:color w:val="202020"/>
                      <w:sz w:val="20"/>
                      <w:szCs w:val="20"/>
                    </w:rPr>
                  </w:pPr>
                </w:p>
                <w:p w14:paraId="37E555BC" w14:textId="77777777" w:rsidR="00584494" w:rsidRPr="008A4C00" w:rsidRDefault="00584494" w:rsidP="0000147B">
                  <w:pPr>
                    <w:pStyle w:val="NormalWeb"/>
                    <w:spacing w:before="0" w:beforeAutospacing="0" w:after="0" w:afterAutospacing="0"/>
                    <w:ind w:left="567"/>
                    <w:rPr>
                      <w:color w:val="202020"/>
                      <w:sz w:val="20"/>
                      <w:szCs w:val="20"/>
                    </w:rPr>
                  </w:pPr>
                  <w:r w:rsidRPr="008A4C00">
                    <w:rPr>
                      <w:rStyle w:val="Strk"/>
                      <w:color w:val="202020"/>
                      <w:sz w:val="20"/>
                      <w:szCs w:val="20"/>
                    </w:rPr>
                    <w:t>3 ud af 4 lønmodtagere skal ikke betale negative renter</w:t>
                  </w:r>
                </w:p>
                <w:p w14:paraId="7416D992"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Det har været en underskudsforretning for bankerne at tage imod indlån for privatkunder, siden Nationalbanken indførte negative renter – og det er baggrunden for, at bankerne i længden ikke har kunnet blive ved med at have kundernes samlede indskud stående til 0 pct. i rente, og derfor at nogle kunder nu oplever at skulle betale.</w:t>
                  </w:r>
                </w:p>
                <w:p w14:paraId="2BA5B2CC"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Når bankerne opkræver negative renter for penge i banken for alt over 100.000 kroner – som er den aktuelt bestemte grænse for en række institutter – er det dog et fåtal af danskere med almindelige job, som reelt skal betale.</w:t>
                  </w:r>
                </w:p>
                <w:p w14:paraId="0EC90039" w14:textId="77777777" w:rsidR="00584494" w:rsidRPr="008A4C00" w:rsidRDefault="00584494" w:rsidP="0000147B">
                  <w:pPr>
                    <w:pStyle w:val="NormalWeb"/>
                    <w:spacing w:before="0" w:beforeAutospacing="0" w:after="0" w:afterAutospacing="0"/>
                    <w:ind w:left="567"/>
                    <w:rPr>
                      <w:color w:val="202020"/>
                      <w:sz w:val="20"/>
                      <w:szCs w:val="20"/>
                    </w:rPr>
                  </w:pPr>
                  <w:r w:rsidRPr="008A4C00">
                    <w:rPr>
                      <w:color w:val="202020"/>
                      <w:sz w:val="20"/>
                      <w:szCs w:val="20"/>
                    </w:rPr>
                    <w:t>Kun godt hver fjerde normale lønmodtager i Danmark står til at skulle betale negative indlånsrenter ved en grænse på 100.000 kr. – og for de fleste af dem er udgiften på under 1.200 kr. om året. Tre ud af fire normale lønmodtagere bliver slet ikke berørt efter de seneste ændringer – til trods for, at bankerne sætter penge til på deres indlån.</w:t>
                  </w:r>
                </w:p>
              </w:tc>
            </w:tr>
          </w:tbl>
          <w:p w14:paraId="1A743B61" w14:textId="44932D00" w:rsidR="00584494" w:rsidRPr="008A4C00" w:rsidRDefault="00AD6BA8" w:rsidP="0000147B">
            <w:pPr>
              <w:spacing w:after="0" w:line="240" w:lineRule="auto"/>
              <w:ind w:left="567"/>
              <w:rPr>
                <w:rFonts w:ascii="Times New Roman" w:hAnsi="Times New Roman" w:cs="Times New Roman"/>
                <w:i/>
                <w:sz w:val="20"/>
                <w:szCs w:val="20"/>
                <w:lang w:val="da-DK"/>
              </w:rPr>
            </w:pPr>
            <w:r w:rsidRPr="008A4C00">
              <w:rPr>
                <w:rFonts w:ascii="Times New Roman" w:hAnsi="Times New Roman" w:cs="Times New Roman"/>
                <w:i/>
                <w:sz w:val="20"/>
                <w:szCs w:val="20"/>
                <w:lang w:val="da-DK"/>
              </w:rPr>
              <w:t>K</w:t>
            </w:r>
            <w:r w:rsidR="00D85001" w:rsidRPr="008A4C00">
              <w:rPr>
                <w:rFonts w:ascii="Times New Roman" w:hAnsi="Times New Roman" w:cs="Times New Roman"/>
                <w:i/>
                <w:sz w:val="20"/>
                <w:szCs w:val="20"/>
                <w:lang w:val="da-DK"/>
              </w:rPr>
              <w:t>ilde</w:t>
            </w:r>
            <w:r w:rsidRPr="008A4C00">
              <w:rPr>
                <w:rFonts w:ascii="Times New Roman" w:hAnsi="Times New Roman" w:cs="Times New Roman"/>
                <w:i/>
                <w:sz w:val="20"/>
                <w:szCs w:val="20"/>
                <w:lang w:val="da-DK"/>
              </w:rPr>
              <w:t xml:space="preserve">: </w:t>
            </w:r>
            <w:proofErr w:type="spellStart"/>
            <w:r w:rsidRPr="008A4C00">
              <w:rPr>
                <w:rFonts w:ascii="Times New Roman" w:hAnsi="Times New Roman" w:cs="Times New Roman"/>
                <w:i/>
                <w:sz w:val="20"/>
                <w:szCs w:val="20"/>
                <w:lang w:val="da-DK"/>
              </w:rPr>
              <w:t>FinansDanmark</w:t>
            </w:r>
            <w:proofErr w:type="spellEnd"/>
            <w:r w:rsidRPr="008A4C00">
              <w:rPr>
                <w:rFonts w:ascii="Times New Roman" w:hAnsi="Times New Roman" w:cs="Times New Roman"/>
                <w:i/>
                <w:sz w:val="20"/>
                <w:szCs w:val="20"/>
                <w:lang w:val="da-DK"/>
              </w:rPr>
              <w:t xml:space="preserve"> 11. maj 2021</w:t>
            </w:r>
          </w:p>
        </w:tc>
      </w:tr>
    </w:tbl>
    <w:p w14:paraId="1FF3ABFF" w14:textId="47081C8F" w:rsidR="00584494" w:rsidRPr="008A4C00" w:rsidRDefault="00584494" w:rsidP="008E5157">
      <w:pPr>
        <w:spacing w:after="0"/>
        <w:rPr>
          <w:rFonts w:ascii="Times New Roman" w:hAnsi="Times New Roman" w:cs="Times New Roman"/>
          <w:sz w:val="20"/>
          <w:szCs w:val="20"/>
          <w:lang w:val="da-DK"/>
        </w:rPr>
      </w:pPr>
    </w:p>
    <w:p w14:paraId="1D3C67BA" w14:textId="77777777" w:rsidR="008A4C00" w:rsidRPr="008A4C00" w:rsidRDefault="008A4C00" w:rsidP="008E5157">
      <w:pPr>
        <w:spacing w:after="0"/>
        <w:rPr>
          <w:rFonts w:ascii="Times New Roman" w:hAnsi="Times New Roman" w:cs="Times New Roman"/>
          <w:sz w:val="20"/>
          <w:szCs w:val="20"/>
          <w:lang w:val="da-DK"/>
        </w:rPr>
      </w:pPr>
    </w:p>
    <w:p w14:paraId="2A064407" w14:textId="3764003C" w:rsidR="00CC3ABD" w:rsidRPr="008A4C00" w:rsidRDefault="007B11CD" w:rsidP="0000147B">
      <w:pPr>
        <w:spacing w:after="0"/>
        <w:rPr>
          <w:rFonts w:ascii="Times New Roman" w:hAnsi="Times New Roman" w:cs="Times New Roman"/>
          <w:b/>
          <w:bCs/>
          <w:sz w:val="20"/>
          <w:szCs w:val="20"/>
          <w:lang w:val="da-DK"/>
        </w:rPr>
      </w:pPr>
      <w:r w:rsidRPr="008A4C00">
        <w:rPr>
          <w:rFonts w:ascii="Times New Roman" w:hAnsi="Times New Roman" w:cs="Times New Roman"/>
          <w:b/>
          <w:bCs/>
          <w:sz w:val="20"/>
          <w:szCs w:val="20"/>
          <w:lang w:val="da-DK"/>
        </w:rPr>
        <w:lastRenderedPageBreak/>
        <w:t>5.24</w:t>
      </w:r>
    </w:p>
    <w:p w14:paraId="20C00FA7" w14:textId="549D0EBA" w:rsidR="00333640" w:rsidRDefault="0000147B" w:rsidP="0000147B">
      <w:pPr>
        <w:spacing w:after="0"/>
        <w:rPr>
          <w:rFonts w:ascii="Times New Roman" w:eastAsia="Arial" w:hAnsi="Times New Roman" w:cs="Times New Roman"/>
          <w:color w:val="252525"/>
          <w:sz w:val="20"/>
          <w:szCs w:val="20"/>
          <w:lang w:val="da-DK"/>
        </w:rPr>
      </w:pPr>
      <w:r>
        <w:rPr>
          <w:rFonts w:ascii="Times New Roman" w:eastAsia="Arial" w:hAnsi="Times New Roman" w:cs="Times New Roman"/>
          <w:color w:val="252525"/>
          <w:sz w:val="20"/>
          <w:szCs w:val="20"/>
          <w:lang w:val="da-DK"/>
        </w:rPr>
        <w:t>Lyt til</w:t>
      </w:r>
      <w:r w:rsidR="00F2160D" w:rsidRPr="008A4C00">
        <w:rPr>
          <w:rFonts w:ascii="Times New Roman" w:eastAsia="Arial" w:hAnsi="Times New Roman" w:cs="Times New Roman"/>
          <w:color w:val="252525"/>
          <w:sz w:val="20"/>
          <w:szCs w:val="20"/>
          <w:lang w:val="da-DK"/>
        </w:rPr>
        <w:t xml:space="preserve"> </w:t>
      </w:r>
      <w:r>
        <w:rPr>
          <w:rFonts w:ascii="Times New Roman" w:eastAsia="Arial" w:hAnsi="Times New Roman" w:cs="Times New Roman"/>
          <w:color w:val="252525"/>
          <w:sz w:val="20"/>
          <w:szCs w:val="20"/>
          <w:lang w:val="da-DK"/>
        </w:rPr>
        <w:t xml:space="preserve">Martin Ågerups </w:t>
      </w:r>
      <w:r w:rsidR="00F2160D" w:rsidRPr="008A4C00">
        <w:rPr>
          <w:rFonts w:ascii="Times New Roman" w:eastAsia="Arial" w:hAnsi="Times New Roman" w:cs="Times New Roman"/>
          <w:color w:val="252525"/>
          <w:sz w:val="20"/>
          <w:szCs w:val="20"/>
          <w:lang w:val="da-DK"/>
        </w:rPr>
        <w:t xml:space="preserve">podcast </w:t>
      </w:r>
      <w:r>
        <w:rPr>
          <w:rFonts w:ascii="Times New Roman" w:eastAsia="Arial" w:hAnsi="Times New Roman" w:cs="Times New Roman"/>
          <w:color w:val="252525"/>
          <w:sz w:val="20"/>
          <w:szCs w:val="20"/>
          <w:lang w:val="da-DK"/>
        </w:rPr>
        <w:t>”</w:t>
      </w:r>
      <w:r w:rsidR="00A50755" w:rsidRPr="008A4C00">
        <w:rPr>
          <w:rFonts w:ascii="Times New Roman" w:eastAsia="Arial" w:hAnsi="Times New Roman" w:cs="Times New Roman"/>
          <w:color w:val="252525"/>
          <w:sz w:val="20"/>
          <w:szCs w:val="20"/>
          <w:lang w:val="da-DK"/>
        </w:rPr>
        <w:t xml:space="preserve">Michael Møller om </w:t>
      </w:r>
      <w:r>
        <w:rPr>
          <w:rFonts w:ascii="Times New Roman" w:eastAsia="Arial" w:hAnsi="Times New Roman" w:cs="Times New Roman"/>
          <w:color w:val="252525"/>
          <w:sz w:val="20"/>
          <w:szCs w:val="20"/>
          <w:lang w:val="da-DK"/>
        </w:rPr>
        <w:t xml:space="preserve">fakta og fordomme om bankerne og en finansielle sektor” på følgende link: </w:t>
      </w:r>
      <w:hyperlink r:id="rId11" w:history="1">
        <w:r w:rsidRPr="00EA3975">
          <w:rPr>
            <w:rStyle w:val="Hyperlink"/>
            <w:rFonts w:ascii="Times New Roman" w:eastAsia="Arial" w:hAnsi="Times New Roman" w:cs="Times New Roman"/>
            <w:sz w:val="20"/>
            <w:szCs w:val="20"/>
            <w:lang w:val="da-DK"/>
          </w:rPr>
          <w:t>https://cepos.dk/cepos-podcast/</w:t>
        </w:r>
      </w:hyperlink>
    </w:p>
    <w:p w14:paraId="2D6B640F" w14:textId="77777777" w:rsidR="0000147B" w:rsidRPr="008A4C00" w:rsidRDefault="0000147B" w:rsidP="0000147B">
      <w:pPr>
        <w:spacing w:after="0"/>
        <w:rPr>
          <w:rFonts w:ascii="Times New Roman" w:eastAsia="Arial" w:hAnsi="Times New Roman" w:cs="Times New Roman"/>
          <w:color w:val="252525"/>
          <w:sz w:val="20"/>
          <w:szCs w:val="20"/>
          <w:lang w:val="da-DK"/>
        </w:rPr>
      </w:pPr>
    </w:p>
    <w:p w14:paraId="02C6AF4F" w14:textId="327C9115" w:rsidR="00A96856" w:rsidRPr="008A4C00" w:rsidRDefault="00A96856" w:rsidP="0000147B">
      <w:pPr>
        <w:spacing w:after="0"/>
        <w:rPr>
          <w:rFonts w:ascii="Times New Roman" w:hAnsi="Times New Roman" w:cs="Times New Roman"/>
          <w:sz w:val="20"/>
          <w:szCs w:val="20"/>
          <w:lang w:val="da-DK"/>
        </w:rPr>
      </w:pPr>
      <w:r w:rsidRPr="008A4C00">
        <w:rPr>
          <w:rFonts w:ascii="Times New Roman" w:eastAsia="Arial" w:hAnsi="Times New Roman" w:cs="Times New Roman"/>
          <w:color w:val="252525"/>
          <w:sz w:val="20"/>
          <w:szCs w:val="20"/>
          <w:lang w:val="da-DK"/>
        </w:rPr>
        <w:t>Besvar følgende spørgsmål</w:t>
      </w:r>
      <w:r w:rsidR="0000147B">
        <w:rPr>
          <w:rFonts w:ascii="Times New Roman" w:eastAsia="Arial" w:hAnsi="Times New Roman" w:cs="Times New Roman"/>
          <w:color w:val="252525"/>
          <w:sz w:val="20"/>
          <w:szCs w:val="20"/>
          <w:lang w:val="da-DK"/>
        </w:rPr>
        <w:t>:</w:t>
      </w:r>
    </w:p>
    <w:p w14:paraId="6A798B63" w14:textId="6FD6B2AF" w:rsidR="00A50755" w:rsidRPr="0000147B" w:rsidRDefault="00A50755" w:rsidP="0000147B">
      <w:pPr>
        <w:pStyle w:val="Listeafsnit"/>
        <w:numPr>
          <w:ilvl w:val="0"/>
          <w:numId w:val="24"/>
        </w:numPr>
        <w:spacing w:after="0"/>
        <w:rPr>
          <w:rFonts w:ascii="Times New Roman" w:hAnsi="Times New Roman" w:cs="Times New Roman"/>
          <w:sz w:val="20"/>
          <w:szCs w:val="20"/>
          <w:lang w:val="da-DK"/>
        </w:rPr>
      </w:pPr>
      <w:r w:rsidRPr="0000147B">
        <w:rPr>
          <w:rFonts w:ascii="Times New Roman" w:eastAsia="Arial" w:hAnsi="Times New Roman" w:cs="Times New Roman"/>
          <w:color w:val="252525"/>
          <w:sz w:val="20"/>
          <w:szCs w:val="20"/>
          <w:lang w:val="da-DK"/>
        </w:rPr>
        <w:t>Hvad er årsagerne til negative renter</w:t>
      </w:r>
      <w:r w:rsidR="0000147B">
        <w:rPr>
          <w:rFonts w:ascii="Times New Roman" w:eastAsia="Arial" w:hAnsi="Times New Roman" w:cs="Times New Roman"/>
          <w:color w:val="252525"/>
          <w:sz w:val="20"/>
          <w:szCs w:val="20"/>
          <w:lang w:val="da-DK"/>
        </w:rPr>
        <w:t>?</w:t>
      </w:r>
    </w:p>
    <w:p w14:paraId="53E53B51" w14:textId="1A91DE89" w:rsidR="00A50755" w:rsidRPr="0000147B" w:rsidRDefault="00A50755" w:rsidP="0000147B">
      <w:pPr>
        <w:pStyle w:val="Listeafsnit"/>
        <w:numPr>
          <w:ilvl w:val="0"/>
          <w:numId w:val="24"/>
        </w:numPr>
        <w:spacing w:after="0"/>
        <w:rPr>
          <w:rFonts w:ascii="Times New Roman" w:hAnsi="Times New Roman" w:cs="Times New Roman"/>
          <w:sz w:val="20"/>
          <w:szCs w:val="20"/>
          <w:lang w:val="da-DK"/>
        </w:rPr>
      </w:pPr>
      <w:r w:rsidRPr="0000147B">
        <w:rPr>
          <w:rFonts w:ascii="Times New Roman" w:eastAsia="Arial" w:hAnsi="Times New Roman" w:cs="Times New Roman"/>
          <w:color w:val="252525"/>
          <w:sz w:val="20"/>
          <w:szCs w:val="20"/>
          <w:lang w:val="da-DK"/>
        </w:rPr>
        <w:t xml:space="preserve">Er det </w:t>
      </w:r>
      <w:r w:rsidR="0000147B">
        <w:rPr>
          <w:rFonts w:ascii="Times New Roman" w:eastAsia="Arial" w:hAnsi="Times New Roman" w:cs="Times New Roman"/>
          <w:color w:val="252525"/>
          <w:sz w:val="20"/>
          <w:szCs w:val="20"/>
          <w:lang w:val="da-DK"/>
        </w:rPr>
        <w:t>gr</w:t>
      </w:r>
      <w:r w:rsidRPr="0000147B">
        <w:rPr>
          <w:rFonts w:ascii="Times New Roman" w:eastAsia="Arial" w:hAnsi="Times New Roman" w:cs="Times New Roman"/>
          <w:color w:val="252525"/>
          <w:sz w:val="20"/>
          <w:szCs w:val="20"/>
          <w:lang w:val="da-DK"/>
        </w:rPr>
        <w:t>ådighed,</w:t>
      </w:r>
      <w:r w:rsidR="0000147B" w:rsidRPr="0000147B">
        <w:rPr>
          <w:rFonts w:ascii="Times New Roman" w:eastAsia="Arial" w:hAnsi="Times New Roman" w:cs="Times New Roman"/>
          <w:color w:val="252525"/>
          <w:sz w:val="20"/>
          <w:szCs w:val="20"/>
          <w:lang w:val="da-DK"/>
        </w:rPr>
        <w:t xml:space="preserve"> </w:t>
      </w:r>
      <w:r w:rsidRPr="0000147B">
        <w:rPr>
          <w:rFonts w:ascii="Times New Roman" w:eastAsia="Arial" w:hAnsi="Times New Roman" w:cs="Times New Roman"/>
          <w:color w:val="252525"/>
          <w:sz w:val="20"/>
          <w:szCs w:val="20"/>
          <w:lang w:val="da-DK"/>
        </w:rPr>
        <w:t>når bankerne tager negative renter</w:t>
      </w:r>
      <w:r w:rsidR="0000147B">
        <w:rPr>
          <w:rFonts w:ascii="Times New Roman" w:eastAsia="Arial" w:hAnsi="Times New Roman" w:cs="Times New Roman"/>
          <w:color w:val="252525"/>
          <w:sz w:val="20"/>
          <w:szCs w:val="20"/>
          <w:lang w:val="da-DK"/>
        </w:rPr>
        <w:t>?</w:t>
      </w:r>
    </w:p>
    <w:p w14:paraId="1C2170EA" w14:textId="6912E417" w:rsidR="00A50755" w:rsidRPr="0000147B" w:rsidRDefault="00A50755" w:rsidP="0000147B">
      <w:pPr>
        <w:pStyle w:val="Listeafsnit"/>
        <w:numPr>
          <w:ilvl w:val="0"/>
          <w:numId w:val="24"/>
        </w:numPr>
        <w:spacing w:after="0"/>
        <w:rPr>
          <w:rFonts w:ascii="Times New Roman" w:hAnsi="Times New Roman" w:cs="Times New Roman"/>
          <w:sz w:val="20"/>
          <w:szCs w:val="20"/>
          <w:lang w:val="da-DK"/>
        </w:rPr>
      </w:pPr>
      <w:r w:rsidRPr="0000147B">
        <w:rPr>
          <w:rFonts w:ascii="Times New Roman" w:eastAsia="Arial" w:hAnsi="Times New Roman" w:cs="Times New Roman"/>
          <w:color w:val="252525"/>
          <w:sz w:val="20"/>
          <w:szCs w:val="20"/>
          <w:lang w:val="da-DK"/>
        </w:rPr>
        <w:t>Hvordan er rentabiliteten i banksektoren</w:t>
      </w:r>
      <w:r w:rsidR="0000147B">
        <w:rPr>
          <w:rFonts w:ascii="Times New Roman" w:eastAsia="Arial" w:hAnsi="Times New Roman" w:cs="Times New Roman"/>
          <w:color w:val="252525"/>
          <w:sz w:val="20"/>
          <w:szCs w:val="20"/>
          <w:lang w:val="da-DK"/>
        </w:rPr>
        <w:t>?</w:t>
      </w:r>
    </w:p>
    <w:p w14:paraId="49F5765B" w14:textId="14C53AA6" w:rsidR="00A50755" w:rsidRPr="0000147B" w:rsidRDefault="00A50755" w:rsidP="0000147B">
      <w:pPr>
        <w:pStyle w:val="Listeafsnit"/>
        <w:numPr>
          <w:ilvl w:val="0"/>
          <w:numId w:val="24"/>
        </w:numPr>
        <w:spacing w:after="0"/>
        <w:rPr>
          <w:rFonts w:ascii="Times New Roman" w:hAnsi="Times New Roman" w:cs="Times New Roman"/>
          <w:sz w:val="20"/>
          <w:szCs w:val="20"/>
          <w:lang w:val="da-DK"/>
        </w:rPr>
      </w:pPr>
      <w:r w:rsidRPr="0000147B">
        <w:rPr>
          <w:rFonts w:ascii="Times New Roman" w:eastAsia="Arial" w:hAnsi="Times New Roman" w:cs="Times New Roman"/>
          <w:color w:val="252525"/>
          <w:sz w:val="20"/>
          <w:szCs w:val="20"/>
          <w:lang w:val="da-DK"/>
        </w:rPr>
        <w:t>Bør du placere din opsparing i bankaktier</w:t>
      </w:r>
      <w:r w:rsidR="0000147B">
        <w:rPr>
          <w:rFonts w:ascii="Times New Roman" w:eastAsia="Arial" w:hAnsi="Times New Roman" w:cs="Times New Roman"/>
          <w:color w:val="252525"/>
          <w:sz w:val="20"/>
          <w:szCs w:val="20"/>
          <w:lang w:val="da-DK"/>
        </w:rPr>
        <w:t>?</w:t>
      </w:r>
    </w:p>
    <w:p w14:paraId="68CA677C" w14:textId="6D67A22E" w:rsidR="00A50755" w:rsidRPr="0000147B" w:rsidRDefault="00A50755" w:rsidP="0000147B">
      <w:pPr>
        <w:pStyle w:val="Listeafsnit"/>
        <w:numPr>
          <w:ilvl w:val="0"/>
          <w:numId w:val="24"/>
        </w:numPr>
        <w:spacing w:after="0"/>
        <w:rPr>
          <w:rFonts w:ascii="Times New Roman" w:hAnsi="Times New Roman" w:cs="Times New Roman"/>
          <w:sz w:val="20"/>
          <w:szCs w:val="20"/>
          <w:lang w:val="da-DK"/>
        </w:rPr>
      </w:pPr>
      <w:r w:rsidRPr="0000147B">
        <w:rPr>
          <w:rFonts w:ascii="Times New Roman" w:eastAsia="Arial" w:hAnsi="Times New Roman" w:cs="Times New Roman"/>
          <w:color w:val="252525"/>
          <w:sz w:val="20"/>
          <w:szCs w:val="20"/>
          <w:lang w:val="da-DK"/>
        </w:rPr>
        <w:t>Definer den finansielle sektor rolle</w:t>
      </w:r>
      <w:r w:rsidR="0000147B">
        <w:rPr>
          <w:rFonts w:ascii="Times New Roman" w:eastAsia="Arial" w:hAnsi="Times New Roman" w:cs="Times New Roman"/>
          <w:color w:val="252525"/>
          <w:sz w:val="20"/>
          <w:szCs w:val="20"/>
          <w:lang w:val="da-DK"/>
        </w:rPr>
        <w:t>?</w:t>
      </w:r>
    </w:p>
    <w:p w14:paraId="296FE34E" w14:textId="19C298AA" w:rsidR="007F4A99" w:rsidRPr="0000147B" w:rsidRDefault="0000147B" w:rsidP="0011797F">
      <w:pPr>
        <w:pStyle w:val="Listeafsnit"/>
        <w:numPr>
          <w:ilvl w:val="0"/>
          <w:numId w:val="24"/>
        </w:numPr>
        <w:spacing w:after="0"/>
        <w:rPr>
          <w:rFonts w:ascii="Times New Roman" w:hAnsi="Times New Roman" w:cs="Times New Roman"/>
          <w:b/>
          <w:bCs/>
          <w:sz w:val="20"/>
          <w:szCs w:val="20"/>
          <w:lang w:val="da-DK"/>
        </w:rPr>
      </w:pPr>
      <w:r w:rsidRPr="0000147B">
        <w:rPr>
          <w:rFonts w:ascii="Times New Roman" w:eastAsia="Arial" w:hAnsi="Times New Roman" w:cs="Times New Roman"/>
          <w:color w:val="252525"/>
          <w:sz w:val="20"/>
          <w:szCs w:val="20"/>
          <w:lang w:val="da-DK"/>
        </w:rPr>
        <w:t>H</w:t>
      </w:r>
      <w:r w:rsidR="00A50755" w:rsidRPr="0000147B">
        <w:rPr>
          <w:rFonts w:ascii="Times New Roman" w:eastAsia="Arial" w:hAnsi="Times New Roman" w:cs="Times New Roman"/>
          <w:color w:val="252525"/>
          <w:sz w:val="20"/>
          <w:szCs w:val="20"/>
          <w:lang w:val="da-DK"/>
        </w:rPr>
        <w:t>vad var årsagerne til den finansielle/økonomiske krise i årene efter 2007</w:t>
      </w:r>
      <w:r w:rsidRPr="0000147B">
        <w:rPr>
          <w:rFonts w:ascii="Times New Roman" w:eastAsia="Arial" w:hAnsi="Times New Roman" w:cs="Times New Roman"/>
          <w:color w:val="252525"/>
          <w:sz w:val="20"/>
          <w:szCs w:val="20"/>
          <w:lang w:val="da-DK"/>
        </w:rPr>
        <w:t>?</w:t>
      </w:r>
    </w:p>
    <w:sectPr w:rsidR="007F4A99" w:rsidRPr="0000147B" w:rsidSect="00934ECC">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D024" w14:textId="77777777" w:rsidR="0036483F" w:rsidRDefault="0036483F" w:rsidP="00EA4907">
      <w:pPr>
        <w:spacing w:after="0" w:line="240" w:lineRule="auto"/>
      </w:pPr>
      <w:r>
        <w:separator/>
      </w:r>
    </w:p>
  </w:endnote>
  <w:endnote w:type="continuationSeparator" w:id="0">
    <w:p w14:paraId="0D1ED09E" w14:textId="77777777" w:rsidR="0036483F" w:rsidRDefault="0036483F" w:rsidP="00EA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A3FB" w14:textId="5B21A6F9" w:rsidR="00BD6CBD" w:rsidRDefault="00BD6CBD">
    <w:pPr>
      <w:pStyle w:val="Sidefod"/>
    </w:pPr>
  </w:p>
  <w:p w14:paraId="04EA550E" w14:textId="77777777" w:rsidR="00BD6CBD" w:rsidRDefault="00BD6CB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70DE5" w14:textId="77777777" w:rsidR="0036483F" w:rsidRDefault="0036483F" w:rsidP="00EA4907">
      <w:pPr>
        <w:spacing w:after="0" w:line="240" w:lineRule="auto"/>
      </w:pPr>
      <w:r>
        <w:separator/>
      </w:r>
    </w:p>
  </w:footnote>
  <w:footnote w:type="continuationSeparator" w:id="0">
    <w:p w14:paraId="37678289" w14:textId="77777777" w:rsidR="0036483F" w:rsidRDefault="0036483F" w:rsidP="00EA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610"/>
    <w:multiLevelType w:val="hybridMultilevel"/>
    <w:tmpl w:val="773229C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064AEF"/>
    <w:multiLevelType w:val="hybridMultilevel"/>
    <w:tmpl w:val="E5D4715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DA7430"/>
    <w:multiLevelType w:val="hybridMultilevel"/>
    <w:tmpl w:val="E8C0CC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4643D1"/>
    <w:multiLevelType w:val="hybridMultilevel"/>
    <w:tmpl w:val="EE605C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9D28F0"/>
    <w:multiLevelType w:val="hybridMultilevel"/>
    <w:tmpl w:val="930A7D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F03C82"/>
    <w:multiLevelType w:val="hybridMultilevel"/>
    <w:tmpl w:val="B4641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20F4599"/>
    <w:multiLevelType w:val="hybridMultilevel"/>
    <w:tmpl w:val="9A7C011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66E1506"/>
    <w:multiLevelType w:val="hybridMultilevel"/>
    <w:tmpl w:val="8A845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6401DD"/>
    <w:multiLevelType w:val="hybridMultilevel"/>
    <w:tmpl w:val="61161B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C0C7521"/>
    <w:multiLevelType w:val="hybridMultilevel"/>
    <w:tmpl w:val="61CE90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04629D8"/>
    <w:multiLevelType w:val="hybridMultilevel"/>
    <w:tmpl w:val="3FCCE8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0BD7068"/>
    <w:multiLevelType w:val="hybridMultilevel"/>
    <w:tmpl w:val="B53E90B2"/>
    <w:lvl w:ilvl="0" w:tplc="04060019">
      <w:start w:val="3"/>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3015880"/>
    <w:multiLevelType w:val="hybridMultilevel"/>
    <w:tmpl w:val="2834A7D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C4152D3"/>
    <w:multiLevelType w:val="hybridMultilevel"/>
    <w:tmpl w:val="B642AFA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DB915F3"/>
    <w:multiLevelType w:val="hybridMultilevel"/>
    <w:tmpl w:val="3ED009D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1C60F6E"/>
    <w:multiLevelType w:val="hybridMultilevel"/>
    <w:tmpl w:val="65500EA8"/>
    <w:lvl w:ilvl="0" w:tplc="A7829FEA">
      <w:start w:val="1"/>
      <w:numFmt w:val="lowerLetter"/>
      <w:lvlText w:val="%1."/>
      <w:lvlJc w:val="left"/>
      <w:pPr>
        <w:ind w:left="1080" w:hanging="360"/>
      </w:pPr>
      <w:rPr>
        <w:rFonts w:ascii="Times New Roman" w:eastAsiaTheme="minorHAnsi" w:hAnsi="Times New Roman" w:cs="Times New Roman"/>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544C27AA"/>
    <w:multiLevelType w:val="hybridMultilevel"/>
    <w:tmpl w:val="A7F4CF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7244B64"/>
    <w:multiLevelType w:val="hybridMultilevel"/>
    <w:tmpl w:val="3320CD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ADC665B"/>
    <w:multiLevelType w:val="hybridMultilevel"/>
    <w:tmpl w:val="F38AB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DA30170"/>
    <w:multiLevelType w:val="hybridMultilevel"/>
    <w:tmpl w:val="70A62A6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58A3B86"/>
    <w:multiLevelType w:val="hybridMultilevel"/>
    <w:tmpl w:val="345AB20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80A119E"/>
    <w:multiLevelType w:val="hybridMultilevel"/>
    <w:tmpl w:val="02049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82D41AC"/>
    <w:multiLevelType w:val="hybridMultilevel"/>
    <w:tmpl w:val="60B20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F5679AD"/>
    <w:multiLevelType w:val="hybridMultilevel"/>
    <w:tmpl w:val="0B5AF4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1"/>
  </w:num>
  <w:num w:numId="4">
    <w:abstractNumId w:val="0"/>
  </w:num>
  <w:num w:numId="5">
    <w:abstractNumId w:val="22"/>
  </w:num>
  <w:num w:numId="6">
    <w:abstractNumId w:val="12"/>
  </w:num>
  <w:num w:numId="7">
    <w:abstractNumId w:val="18"/>
  </w:num>
  <w:num w:numId="8">
    <w:abstractNumId w:val="4"/>
  </w:num>
  <w:num w:numId="9">
    <w:abstractNumId w:val="7"/>
  </w:num>
  <w:num w:numId="10">
    <w:abstractNumId w:val="20"/>
  </w:num>
  <w:num w:numId="11">
    <w:abstractNumId w:val="6"/>
  </w:num>
  <w:num w:numId="12">
    <w:abstractNumId w:val="19"/>
  </w:num>
  <w:num w:numId="13">
    <w:abstractNumId w:val="13"/>
  </w:num>
  <w:num w:numId="14">
    <w:abstractNumId w:val="15"/>
  </w:num>
  <w:num w:numId="15">
    <w:abstractNumId w:val="11"/>
  </w:num>
  <w:num w:numId="16">
    <w:abstractNumId w:val="9"/>
  </w:num>
  <w:num w:numId="17">
    <w:abstractNumId w:val="23"/>
  </w:num>
  <w:num w:numId="18">
    <w:abstractNumId w:val="2"/>
  </w:num>
  <w:num w:numId="19">
    <w:abstractNumId w:val="8"/>
  </w:num>
  <w:num w:numId="20">
    <w:abstractNumId w:val="5"/>
  </w:num>
  <w:num w:numId="21">
    <w:abstractNumId w:val="3"/>
  </w:num>
  <w:num w:numId="22">
    <w:abstractNumId w:val="16"/>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72"/>
    <w:rsid w:val="0000147B"/>
    <w:rsid w:val="00074902"/>
    <w:rsid w:val="00074AF4"/>
    <w:rsid w:val="000837EE"/>
    <w:rsid w:val="00090648"/>
    <w:rsid w:val="0009767F"/>
    <w:rsid w:val="000D3196"/>
    <w:rsid w:val="000D61B2"/>
    <w:rsid w:val="00105441"/>
    <w:rsid w:val="0010659E"/>
    <w:rsid w:val="00115B72"/>
    <w:rsid w:val="00142211"/>
    <w:rsid w:val="001546CE"/>
    <w:rsid w:val="001A24BB"/>
    <w:rsid w:val="00207CDF"/>
    <w:rsid w:val="00224F5A"/>
    <w:rsid w:val="00226BFF"/>
    <w:rsid w:val="002407FB"/>
    <w:rsid w:val="00240D56"/>
    <w:rsid w:val="00247DB2"/>
    <w:rsid w:val="00253BA5"/>
    <w:rsid w:val="00293D6B"/>
    <w:rsid w:val="002A48C3"/>
    <w:rsid w:val="002A50CF"/>
    <w:rsid w:val="003054D2"/>
    <w:rsid w:val="00333640"/>
    <w:rsid w:val="00335A4D"/>
    <w:rsid w:val="00357832"/>
    <w:rsid w:val="0036483F"/>
    <w:rsid w:val="00377D45"/>
    <w:rsid w:val="003A5D1A"/>
    <w:rsid w:val="003C24F7"/>
    <w:rsid w:val="003E0249"/>
    <w:rsid w:val="004031FB"/>
    <w:rsid w:val="00423942"/>
    <w:rsid w:val="004349AA"/>
    <w:rsid w:val="00472D95"/>
    <w:rsid w:val="004861DF"/>
    <w:rsid w:val="004863EB"/>
    <w:rsid w:val="004B1417"/>
    <w:rsid w:val="004D4879"/>
    <w:rsid w:val="00500E68"/>
    <w:rsid w:val="005262B9"/>
    <w:rsid w:val="00545C50"/>
    <w:rsid w:val="005479F3"/>
    <w:rsid w:val="00561A69"/>
    <w:rsid w:val="00583B6B"/>
    <w:rsid w:val="00584494"/>
    <w:rsid w:val="00593E52"/>
    <w:rsid w:val="005D5DB8"/>
    <w:rsid w:val="005E2CD0"/>
    <w:rsid w:val="005E3BF2"/>
    <w:rsid w:val="00622AE7"/>
    <w:rsid w:val="006243EE"/>
    <w:rsid w:val="006422BD"/>
    <w:rsid w:val="006528C6"/>
    <w:rsid w:val="006A2824"/>
    <w:rsid w:val="006A7D82"/>
    <w:rsid w:val="006D6DDA"/>
    <w:rsid w:val="0071008B"/>
    <w:rsid w:val="00710728"/>
    <w:rsid w:val="00735CCC"/>
    <w:rsid w:val="00737CAE"/>
    <w:rsid w:val="00755443"/>
    <w:rsid w:val="007762E1"/>
    <w:rsid w:val="00796FC2"/>
    <w:rsid w:val="007A1026"/>
    <w:rsid w:val="007A2EFC"/>
    <w:rsid w:val="007B11CD"/>
    <w:rsid w:val="007B3D5B"/>
    <w:rsid w:val="007F4A99"/>
    <w:rsid w:val="0082621E"/>
    <w:rsid w:val="00832957"/>
    <w:rsid w:val="00832A16"/>
    <w:rsid w:val="0084612B"/>
    <w:rsid w:val="00847500"/>
    <w:rsid w:val="0085289E"/>
    <w:rsid w:val="00865DE1"/>
    <w:rsid w:val="008709BA"/>
    <w:rsid w:val="008A04FB"/>
    <w:rsid w:val="008A4C00"/>
    <w:rsid w:val="008A7A89"/>
    <w:rsid w:val="008B03D7"/>
    <w:rsid w:val="008C148F"/>
    <w:rsid w:val="008E2438"/>
    <w:rsid w:val="008E5157"/>
    <w:rsid w:val="008F0187"/>
    <w:rsid w:val="008F33F0"/>
    <w:rsid w:val="00902B65"/>
    <w:rsid w:val="009178D5"/>
    <w:rsid w:val="009244D0"/>
    <w:rsid w:val="009333EA"/>
    <w:rsid w:val="00934ECC"/>
    <w:rsid w:val="00960F24"/>
    <w:rsid w:val="009729AA"/>
    <w:rsid w:val="009B3F42"/>
    <w:rsid w:val="009B7DA5"/>
    <w:rsid w:val="009C7B89"/>
    <w:rsid w:val="009F16E4"/>
    <w:rsid w:val="009F507B"/>
    <w:rsid w:val="00A01E3D"/>
    <w:rsid w:val="00A12001"/>
    <w:rsid w:val="00A21B9C"/>
    <w:rsid w:val="00A22658"/>
    <w:rsid w:val="00A40D91"/>
    <w:rsid w:val="00A50755"/>
    <w:rsid w:val="00A6312B"/>
    <w:rsid w:val="00A76069"/>
    <w:rsid w:val="00A96856"/>
    <w:rsid w:val="00A97019"/>
    <w:rsid w:val="00AB2D48"/>
    <w:rsid w:val="00AC6038"/>
    <w:rsid w:val="00AD00DC"/>
    <w:rsid w:val="00AD0EF1"/>
    <w:rsid w:val="00AD6BA8"/>
    <w:rsid w:val="00B14ECB"/>
    <w:rsid w:val="00B159CA"/>
    <w:rsid w:val="00BA2DB0"/>
    <w:rsid w:val="00BD6CBD"/>
    <w:rsid w:val="00C1033E"/>
    <w:rsid w:val="00C33FEF"/>
    <w:rsid w:val="00C42574"/>
    <w:rsid w:val="00C46C45"/>
    <w:rsid w:val="00C56495"/>
    <w:rsid w:val="00C60024"/>
    <w:rsid w:val="00CA58A4"/>
    <w:rsid w:val="00CC3A3F"/>
    <w:rsid w:val="00CC3ABD"/>
    <w:rsid w:val="00CD0D9A"/>
    <w:rsid w:val="00CF3FA5"/>
    <w:rsid w:val="00D00208"/>
    <w:rsid w:val="00D15A31"/>
    <w:rsid w:val="00D25051"/>
    <w:rsid w:val="00D3005E"/>
    <w:rsid w:val="00D427B5"/>
    <w:rsid w:val="00D85001"/>
    <w:rsid w:val="00D97B72"/>
    <w:rsid w:val="00DB1F69"/>
    <w:rsid w:val="00DE00B0"/>
    <w:rsid w:val="00E331F2"/>
    <w:rsid w:val="00E37B30"/>
    <w:rsid w:val="00E52A0F"/>
    <w:rsid w:val="00E90503"/>
    <w:rsid w:val="00E905A0"/>
    <w:rsid w:val="00EA4907"/>
    <w:rsid w:val="00EA5AAB"/>
    <w:rsid w:val="00EC415F"/>
    <w:rsid w:val="00EE2F27"/>
    <w:rsid w:val="00F046A5"/>
    <w:rsid w:val="00F066AE"/>
    <w:rsid w:val="00F2160D"/>
    <w:rsid w:val="00F2667B"/>
    <w:rsid w:val="00F83CC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006F0"/>
  <w15:docId w15:val="{489784EB-6D75-45B5-9375-7B7D35D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CC"/>
    <w:rPr>
      <w:lang w:val="en-US"/>
    </w:rPr>
  </w:style>
  <w:style w:type="paragraph" w:styleId="Overskrift1">
    <w:name w:val="heading 1"/>
    <w:basedOn w:val="Normal"/>
    <w:link w:val="Overskrift1Tegn"/>
    <w:uiPriority w:val="9"/>
    <w:qFormat/>
    <w:rsid w:val="002A50CF"/>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paragraph" w:styleId="Overskrift4">
    <w:name w:val="heading 4"/>
    <w:basedOn w:val="Normal"/>
    <w:next w:val="Normal"/>
    <w:link w:val="Overskrift4Tegn"/>
    <w:uiPriority w:val="9"/>
    <w:semiHidden/>
    <w:unhideWhenUsed/>
    <w:qFormat/>
    <w:rsid w:val="005844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97B72"/>
    <w:pPr>
      <w:ind w:left="720"/>
      <w:contextualSpacing/>
    </w:pPr>
  </w:style>
  <w:style w:type="paragraph" w:styleId="Markeringsbobletekst">
    <w:name w:val="Balloon Text"/>
    <w:basedOn w:val="Normal"/>
    <w:link w:val="MarkeringsbobletekstTegn"/>
    <w:uiPriority w:val="99"/>
    <w:semiHidden/>
    <w:unhideWhenUsed/>
    <w:rsid w:val="00F266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2667B"/>
    <w:rPr>
      <w:rFonts w:ascii="Tahoma" w:hAnsi="Tahoma" w:cs="Tahoma"/>
      <w:sz w:val="16"/>
      <w:szCs w:val="16"/>
      <w:lang w:val="en-US"/>
    </w:rPr>
  </w:style>
  <w:style w:type="paragraph" w:styleId="Sidehoved">
    <w:name w:val="header"/>
    <w:basedOn w:val="Normal"/>
    <w:link w:val="SidehovedTegn"/>
    <w:uiPriority w:val="99"/>
    <w:unhideWhenUsed/>
    <w:rsid w:val="00EA49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4907"/>
    <w:rPr>
      <w:lang w:val="en-US"/>
    </w:rPr>
  </w:style>
  <w:style w:type="paragraph" w:styleId="Sidefod">
    <w:name w:val="footer"/>
    <w:basedOn w:val="Normal"/>
    <w:link w:val="SidefodTegn"/>
    <w:uiPriority w:val="99"/>
    <w:unhideWhenUsed/>
    <w:rsid w:val="00EA49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4907"/>
    <w:rPr>
      <w:lang w:val="en-US"/>
    </w:rPr>
  </w:style>
  <w:style w:type="character" w:customStyle="1" w:styleId="Overskrift1Tegn">
    <w:name w:val="Overskrift 1 Tegn"/>
    <w:basedOn w:val="Standardskrifttypeiafsnit"/>
    <w:link w:val="Overskrift1"/>
    <w:uiPriority w:val="9"/>
    <w:rsid w:val="002A50CF"/>
    <w:rPr>
      <w:rFonts w:ascii="Times New Roman" w:eastAsia="Times New Roman" w:hAnsi="Times New Roman" w:cs="Times New Roman"/>
      <w:b/>
      <w:bCs/>
      <w:kern w:val="36"/>
      <w:sz w:val="48"/>
      <w:szCs w:val="48"/>
      <w:lang w:eastAsia="da-DK"/>
    </w:rPr>
  </w:style>
  <w:style w:type="table" w:styleId="Tabel-Gitter">
    <w:name w:val="Table Grid"/>
    <w:basedOn w:val="Tabel-Normal"/>
    <w:uiPriority w:val="59"/>
    <w:rsid w:val="00BD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C3ABD"/>
    <w:rPr>
      <w:color w:val="0000FF" w:themeColor="hyperlink"/>
      <w:u w:val="single"/>
    </w:rPr>
  </w:style>
  <w:style w:type="character" w:customStyle="1" w:styleId="UnresolvedMention">
    <w:name w:val="Unresolved Mention"/>
    <w:basedOn w:val="Standardskrifttypeiafsnit"/>
    <w:uiPriority w:val="99"/>
    <w:semiHidden/>
    <w:unhideWhenUsed/>
    <w:rsid w:val="00CC3ABD"/>
    <w:rPr>
      <w:color w:val="605E5C"/>
      <w:shd w:val="clear" w:color="auto" w:fill="E1DFDD"/>
    </w:rPr>
  </w:style>
  <w:style w:type="paragraph" w:styleId="NormalWeb">
    <w:name w:val="Normal (Web)"/>
    <w:basedOn w:val="Normal"/>
    <w:uiPriority w:val="99"/>
    <w:unhideWhenUsed/>
    <w:rsid w:val="00CF3FA5"/>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styleId="Strk">
    <w:name w:val="Strong"/>
    <w:basedOn w:val="Standardskrifttypeiafsnit"/>
    <w:uiPriority w:val="22"/>
    <w:qFormat/>
    <w:rsid w:val="00247DB2"/>
    <w:rPr>
      <w:b/>
      <w:bCs/>
    </w:rPr>
  </w:style>
  <w:style w:type="character" w:styleId="Fremhv">
    <w:name w:val="Emphasis"/>
    <w:basedOn w:val="Standardskrifttypeiafsnit"/>
    <w:uiPriority w:val="20"/>
    <w:qFormat/>
    <w:rsid w:val="00247DB2"/>
    <w:rPr>
      <w:i/>
      <w:iCs/>
    </w:rPr>
  </w:style>
  <w:style w:type="character" w:customStyle="1" w:styleId="Overskrift4Tegn">
    <w:name w:val="Overskrift 4 Tegn"/>
    <w:basedOn w:val="Standardskrifttypeiafsnit"/>
    <w:link w:val="Overskrift4"/>
    <w:uiPriority w:val="9"/>
    <w:semiHidden/>
    <w:rsid w:val="00584494"/>
    <w:rPr>
      <w:rFonts w:asciiTheme="majorHAnsi" w:eastAsiaTheme="majorEastAsia" w:hAnsiTheme="majorHAnsi" w:cstheme="majorBidi"/>
      <w:i/>
      <w:iCs/>
      <w:color w:val="365F91"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9679">
      <w:bodyDiv w:val="1"/>
      <w:marLeft w:val="0"/>
      <w:marRight w:val="0"/>
      <w:marTop w:val="0"/>
      <w:marBottom w:val="0"/>
      <w:divBdr>
        <w:top w:val="none" w:sz="0" w:space="0" w:color="auto"/>
        <w:left w:val="none" w:sz="0" w:space="0" w:color="auto"/>
        <w:bottom w:val="none" w:sz="0" w:space="0" w:color="auto"/>
        <w:right w:val="none" w:sz="0" w:space="0" w:color="auto"/>
      </w:divBdr>
    </w:div>
    <w:div w:id="595597204">
      <w:bodyDiv w:val="1"/>
      <w:marLeft w:val="0"/>
      <w:marRight w:val="0"/>
      <w:marTop w:val="0"/>
      <w:marBottom w:val="0"/>
      <w:divBdr>
        <w:top w:val="none" w:sz="0" w:space="0" w:color="auto"/>
        <w:left w:val="none" w:sz="0" w:space="0" w:color="auto"/>
        <w:bottom w:val="none" w:sz="0" w:space="0" w:color="auto"/>
        <w:right w:val="none" w:sz="0" w:space="0" w:color="auto"/>
      </w:divBdr>
    </w:div>
    <w:div w:id="1047800891">
      <w:bodyDiv w:val="1"/>
      <w:marLeft w:val="0"/>
      <w:marRight w:val="0"/>
      <w:marTop w:val="0"/>
      <w:marBottom w:val="0"/>
      <w:divBdr>
        <w:top w:val="none" w:sz="0" w:space="0" w:color="auto"/>
        <w:left w:val="none" w:sz="0" w:space="0" w:color="auto"/>
        <w:bottom w:val="none" w:sz="0" w:space="0" w:color="auto"/>
        <w:right w:val="none" w:sz="0" w:space="0" w:color="auto"/>
      </w:divBdr>
    </w:div>
    <w:div w:id="14299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meo.com/3419947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2x9U27iJq3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pos.dk/cepos-podcas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2680</Words>
  <Characters>16353</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Niels Houlberg Hansen</cp:lastModifiedBy>
  <cp:revision>60</cp:revision>
  <cp:lastPrinted>2014-07-20T08:12:00Z</cp:lastPrinted>
  <dcterms:created xsi:type="dcterms:W3CDTF">2020-07-22T12:15:00Z</dcterms:created>
  <dcterms:modified xsi:type="dcterms:W3CDTF">2021-07-22T09:14:00Z</dcterms:modified>
</cp:coreProperties>
</file>